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Регламент претензий возвратов и споров</w:t>
      </w:r>
    </w:p>
    <w:p>
      <w:pPr>
        <w:jc w:val="center"/>
      </w:pPr>
      <w:r>
        <w:rPr>
          <w:i/>
        </w:rPr>
        <w:t>для сервиса подбора и бронирования занятий через Telegram/VK</w:t>
      </w:r>
    </w:p>
    <w:p>
      <w:pPr>
        <w:jc w:val="center"/>
      </w:pPr>
      <w:r>
        <w:t>Редакция от 06.10.2026</w:t>
      </w:r>
    </w:p>
    <w:p>
      <w:pPr>
        <w:pStyle w:val="Heading1"/>
      </w:pPr>
      <w:r>
        <w:rPr>
          <w:color w:val="000000"/>
        </w:rPr>
        <w:t>1. Для пользователей-потребителей</w:t>
      </w:r>
    </w:p>
    <w:p>
      <w:pPr>
        <w:keepNext w:val="0"/>
        <w:widowControl/>
        <w:spacing w:before="0" w:after="140"/>
      </w:pPr>
      <w:r>
        <w:t>При отмене Репетитором или невозможности занятия по обстоятельствам, за которые отвечает Репетитор или Сервис: полный возврат оплаты соответствующего неоказанного занятия либо согласованный перенос без доплаты. Иные законные требования пользователя сохраняются.</w:t>
      </w:r>
    </w:p>
    <w:p>
      <w:pPr>
        <w:keepNext w:val="0"/>
        <w:widowControl/>
        <w:spacing w:before="0" w:after="140"/>
      </w:pPr>
      <w:r>
        <w:t>При уведомлении пользователя не менее чем за 24 часа: отмена неоказанного занятия с полным возвратом либо согласованный перенос без платы за перенос. При обращении позднее перенос не гарантирован, но право на отказ сохраняется; сама поздняя отмена не является основанием штрафа.</w:t>
      </w:r>
    </w:p>
    <w:p>
      <w:pPr>
        <w:keepNext w:val="0"/>
        <w:widowControl/>
        <w:spacing w:before="0" w:after="140"/>
      </w:pPr>
      <w:r>
        <w:t>При отказе до начала: рассчитать возврат по статье 32 ЗоЗПП и пункту 1 статьи 782 ГК РФ; удерживать только допустимые, необходимые, документально подтвержденные расходы по конкретному заказу, понесенные до получения отказа. Фиксировать время доставки уведомления, а не время его обработки. Запрос переноса с сообщением о невозможности участия в исходное время оценивать по содержанию как отказ от исходного занятия.</w:t>
      </w:r>
    </w:p>
    <w:p>
      <w:pPr>
        <w:keepNext w:val="0"/>
        <w:widowControl/>
        <w:spacing w:before="0" w:after="140"/>
      </w:pPr>
      <w:r>
        <w:t>По Zoom: стандартная общая подписка для работы с разными учениками не удерживается автоматически. Проверить наличие необходимых дополнительных затрат на платные функции именно для этого заказа, дату и документ оплаты, период подписки, невозможность возврата, связь с заказом и расчет относящейся к нему суммы. Отсутствие этих оснований означает нулевое удержание по Zoom.</w:t>
      </w:r>
    </w:p>
    <w:p>
      <w:pPr>
        <w:keepNext w:val="0"/>
        <w:widowControl/>
        <w:spacing w:before="0" w:after="140"/>
      </w:pPr>
      <w:r>
        <w:t>Предел возмещения допустимых расходов на Zoom одним пользователем за один оплаченный месячный период: минимум из доказанной суммы по заказу и 20% фактической стоимости подписки, но не более 500 рублей. При подтвержденной оплате 2500 рублей предел равен 500 рублей. Учитывать прежние возмещения, возвраты поставщика и оплату других услуг; не взыскивать одну затрату повторно и не превращать предел в обязательный тариф.</w:t>
      </w:r>
      <w:r>
        <w:rPr>
          <w:rStyle w:val="CommentReference"/>
        </w:rPr>
      </w:r>
    </w:p>
    <w:p>
      <w:pPr>
        <w:keepNext w:val="0"/>
        <w:widowControl/>
        <w:spacing w:before="0" w:after="140"/>
      </w:pPr>
      <w:r>
        <w:t>Не начислять пользователю неустойку 500 рублей за занятое время при правомерном отказе, в том числе менее чем за 24 часа. Резервирование времени и неполученный доход сами по себе не являются фактическими расходами по статье 32 ЗоЗПП.</w:t>
      </w:r>
    </w:p>
    <w:p>
      <w:pPr>
        <w:keepNext w:val="0"/>
        <w:widowControl/>
        <w:spacing w:before="0" w:after="140"/>
      </w:pPr>
      <w:r>
        <w:t>При неявке без ранее полученного отказа: фиксировать согласованное время, предоставление доступа, готовность Репетитора, коммуникацию и причины неучастия. Полная оплата возможна при наличии оснований пункта 2 статьи 781 ГК РФ; оценка индивидуальная. Болезнь и иные обстоятельства, за которые стороны не отвечают, оцениваются по пункту 3 статьи 781. Не отмечать неоказанное занятие как фактически проведенное.</w:t>
      </w:r>
    </w:p>
    <w:p>
      <w:pPr>
        <w:keepNext w:val="0"/>
        <w:widowControl/>
        <w:spacing w:before="0" w:after="140"/>
      </w:pPr>
      <w:r>
        <w:t>Новый урок оформляется и оплачивается отдельно по согласованной цене. Расчеты по исходному заказу независимы; подлежащую возврату сумму можно зачесть в новый заказ только по выбору пользователя. Повторной платы за тот же объем услуги при согласованном переносе с зачетом прежней оплаты нет.</w:t>
      </w:r>
    </w:p>
    <w:p>
      <w:pPr>
        <w:keepNext w:val="0"/>
        <w:widowControl/>
        <w:spacing w:before="0" w:after="140"/>
      </w:pPr>
      <w:r>
        <w:t>По пакету: стоимость неоказанной части рассчитывать по согласованной цене с учетом скидки. Не аннулировать скидку задним числом, не списывать и не оплачивать одно занятие повторно. Доказанные суммы по пункту 2 статьи 781 учитывать отдельно.</w:t>
      </w:r>
    </w:p>
    <w:p>
      <w:pPr>
        <w:keepNext w:val="0"/>
        <w:widowControl/>
        <w:spacing w:before="0" w:after="140"/>
      </w:pPr>
      <w:r>
        <w:t>При возврате: предоставить пользователю расчет, правовое основание и подтверждение удержаний. Подлежащую возврату сумму вернуть не позднее 10 календарных дней со дня получения требования, если законом не установлен более короткий срок. Это договорный срок оферты. Спор о части суммы не задерживает возврат бесспорной части. Статус возврата фиксировать отдельно: отметка refund_status в базе сама по себе не является банковским возвратом.</w:t>
      </w:r>
    </w:p>
    <w:p>
      <w:pPr>
        <w:keepNext w:val="0"/>
        <w:widowControl/>
        <w:spacing w:before="0" w:after="140"/>
      </w:pPr>
      <w:r>
        <w:t>Не вводить обязательную форму обращения или обязательный досудебный порядок. За бесплатную пробную запись плату за отмену или перенос не начислять. Новые условия применять после публикации только к новым заказам в соответствии с разделом 9 оферты.</w:t>
      </w:r>
    </w:p>
    <w:p>
      <w:pPr>
        <w:pStyle w:val="Heading1"/>
      </w:pPr>
      <w:r>
        <w:rPr>
          <w:color w:val="000000"/>
        </w:rPr>
        <w:t>2. Для Репетиторов</w:t>
      </w:r>
    </w:p>
    <w:p>
      <w:r>
        <w:t>Претензии по агентскому договору рассматриваются до 10 рабочих дней. До применения существенной санкции Агент фиксирует основание, дает возможность представить объяснения и указывает расчет неустойки/зачета в отчете.</w:t>
      </w:r>
    </w:p>
    <w:p>
      <w:pPr>
        <w:pStyle w:val="Heading1"/>
      </w:pPr>
      <w:r>
        <w:rPr>
          <w:color w:val="000000"/>
        </w:rPr>
        <w:t>3. Матрица доказательств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shd w:fill="EDED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9"/>
              </w:rPr>
              <w:t>Ситуация</w:t>
            </w:r>
          </w:p>
        </w:tc>
        <w:tc>
          <w:tcPr>
            <w:tcW w:type="dxa" w:w="3324"/>
            <w:shd w:fill="EDED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9"/>
              </w:rPr>
              <w:t>Что фиксировать</w:t>
            </w:r>
          </w:p>
        </w:tc>
        <w:tc>
          <w:tcPr>
            <w:tcW w:type="dxa" w:w="3324"/>
            <w:shd w:fill="EDEDE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9"/>
              </w:rPr>
              <w:t>Решение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9"/>
              </w:rPr>
              <w:t>Неявка ученика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9"/>
              </w:rPr>
              <w:t>ID заказа, отсутствие ранее доставленного отказа, доступ к занятию, готовность, причины неучастия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9"/>
              </w:rPr>
              <w:t>Статья 781 ГК РФ; без автоматического удержания и отметки о фактическом проведении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9"/>
              </w:rPr>
              <w:t>Отмена Репетитора &lt;24 ч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9"/>
              </w:rPr>
              <w:t>время, причина, подтверждения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9"/>
              </w:rPr>
              <w:t>возврат/перенос; возможная B2B-неустойка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9"/>
              </w:rPr>
              <w:t>Увод ученика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9"/>
              </w:rPr>
              <w:t>переписка, платежные доказательства/признание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9"/>
              </w:rPr>
              <w:t>объяснения → расчет санкции/зачета/ограничения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9"/>
              </w:rPr>
              <w:t>Жалоба на качество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9"/>
              </w:rPr>
              <w:t>материалы, переписка, объяснения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9"/>
              </w:rPr>
              <w:t>возврат/частичный возврат/мотивированный отказ; меры к Репетитору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9"/>
              </w:rPr>
              <w:t>Расходы Zoom при отказе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9"/>
              </w:rPr>
              <w:t>Оплата и период, необходимость дополнительных затрат для заказа, расчет, невозможность возврата, ранее покрытые суммы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9"/>
              </w:rPr>
              <w:t>Только допустимые доказанные расходы; предел 20% фактической подписки и 500 рублей за месячный период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9"/>
              </w:rPr>
              <w:t>Отказ пользователя менее 24 часов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9"/>
              </w:rPr>
              <w:t>Текст и доставка сообщения, исполненные услуги и допустимые расходы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9"/>
              </w:rPr>
              <w:t>Возврат по статье 32; без неустойки за занятое время</w:t>
            </w:r>
          </w:p>
        </w:tc>
      </w:tr>
    </w:tbl>
    <w:p>
      <w:pPr>
        <w:pStyle w:val="Heading1"/>
      </w:pPr>
      <w:r>
        <w:rPr>
          <w:color w:val="000000"/>
        </w:rPr>
        <w:t>4. Шаблон ответа пользователю</w:t>
      </w:r>
    </w:p>
    <w:p>
      <w:r>
        <w:t>«Мы зарегистрировали обращение № __ по занятию #__. Исполнитель: __. По результатам проверки установлено: __. Решение: __. Сумма возврата: __ руб. / основание отказа: __. Дополнительные материалы можно направить через поддержку или на e-mail Оператора.»</w:t>
      </w:r>
    </w:p>
    <w:p>
      <w:pPr>
        <w:pStyle w:val="Heading1"/>
      </w:pPr>
      <w:r>
        <w:rPr>
          <w:color w:val="000000"/>
        </w:rPr>
        <w:t>Нормативная база</w:t>
      </w:r>
    </w:p>
    <w:p>
      <w:pPr>
        <w:pStyle w:val="ListBullet"/>
      </w:pPr>
      <w:r>
        <w:t>ГК РФ, включая нормы об агентировании, письменной форме сделок и возмездном оказании услуг.</w:t>
      </w:r>
    </w:p>
    <w:p>
      <w:pPr>
        <w:pStyle w:val="ListBullet"/>
      </w:pPr>
      <w:r>
        <w:t>Закон РФ от 07.02.1992 № 2300-1 «О защите прав потребителей», включая статьи 16 и 32.</w:t>
      </w:r>
    </w:p>
    <w:p>
      <w:pPr>
        <w:pStyle w:val="ListBullet"/>
      </w:pPr>
      <w:r>
        <w:t>Федеральный закон от 27.07.2006 № 152-ФЗ «О персональных данных», включая ст. 9, 10.1, 12, 18, 18.1, 19, 21, 22.</w:t>
      </w:r>
    </w:p>
    <w:p>
      <w:pPr>
        <w:pStyle w:val="ListBullet"/>
      </w:pPr>
      <w:r>
        <w:t>Федеральный закон от 22.05.2003 № 54-ФЗ и применимый формат фискальных документов.</w:t>
      </w:r>
    </w:p>
    <w:p>
      <w:pPr>
        <w:pStyle w:val="ListBullet"/>
      </w:pPr>
      <w:r>
        <w:t>Федеральный закон от 31.07.2025 № 289-ФЗ и связанные изменения — в части, применимой к Сервису с 01.10.2026.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 w:themeColor="text1"/>
      </w:rPr>
      <w:tblPr/>
      <w:tcPr/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 w:themeColor="text1"/>
      </w:rPr>
      <w:tblPr/>
      <w:tcPr/>
    </w:tblStylePr>
    <w:tblStylePr w:type="firstCol">
      <w:rPr>
        <w:color w:val="FFFFFF" w:themeColor="background1"/>
      </w:rPr>
      <w:tblPr/>
      <w:tcPr/>
    </w:tblStylePr>
    <w:tblStylePr w:type="lastCol">
      <w:rPr>
        <w:color w:val="FFFFFF" w:themeColor="background1"/>
      </w:rPr>
      <w:tblPr/>
      <w:tcPr/>
    </w:tblStylePr>
    <w:tblStylePr w:type="band1Vert">
      <w:tblPr/>
      <w:tcPr/>
    </w:tblStylePr>
    <w:tblStylePr w:type="band1Horz">
      <w:tblPr/>
      <w:tcPr/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