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Лифт</w:t>
      </w:r>
    </w:p>
    <w:p>
      <w:r>
        <w:rPr>
          <w:rFonts w:ascii="Tahoma" w:hAnsi="Tahoma"/>
          <w:color w:val="FF0000"/>
        </w:rPr>
        <w:t>Вход в лифт предусмотреть через тамбур-шлюз 1-го типа с подпором воздуха при пожаре. (ч.20 ст. 88 ФЗ №123).</w:t>
      </w:r>
      <w:r>
        <w:rPr/>
        <w:br/>
      </w:r>
      <w:r>
        <w:rPr>
          <w:rFonts w:ascii="Tahoma" w:hAnsi="Tahoma"/>
          <w:b/>
          <w:i/>
          <w:color w:val="FF00FF"/>
          <w:u w:val="single"/>
        </w:rPr>
        <w:t>Варианты решения:</w:t>
      </w:r>
    </w:p>
    <w:p>
      <w:r>
        <w:rPr>
          <w:rFonts w:ascii="Tahoma" w:hAnsi="Tahoma"/>
          <w:i/>
          <w:color w:val="FF00FF"/>
          <w:u w:val="single"/>
        </w:rPr>
        <w:t>Устранить замечание.</w:t>
      </w:r>
    </w:p>
    <w:p>
      <w:r>
        <w:rPr>
          <w:b/>
        </w:rPr>
        <w:t>Лифт 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