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EC" w:rsidRDefault="00EC77EC" w:rsidP="00EC77EC">
      <w:pPr>
        <w:shd w:val="clear" w:color="auto" w:fill="FFFFFF"/>
        <w:spacing w:after="330" w:line="240" w:lineRule="auto"/>
        <w:ind w:firstLine="567"/>
        <w:jc w:val="center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Лабораторная работа №3</w:t>
      </w:r>
    </w:p>
    <w:p w:rsidR="00EC77EC" w:rsidRPr="00DF419E" w:rsidRDefault="00DF419E" w:rsidP="00EC77EC">
      <w:pPr>
        <w:shd w:val="clear" w:color="auto" w:fill="FFFFFF"/>
        <w:spacing w:after="33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П</w:t>
      </w:r>
      <w:r w:rsidR="00EC77EC"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равил</w:t>
      </w:r>
      <w:r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а семантических сетей</w:t>
      </w:r>
    </w:p>
    <w:p w:rsidR="006E70FE" w:rsidRPr="00EC77EC" w:rsidRDefault="009C6DA0" w:rsidP="006E70FE">
      <w:pPr>
        <w:shd w:val="clear" w:color="auto" w:fill="FFFFFF"/>
        <w:spacing w:after="330" w:line="240" w:lineRule="auto"/>
        <w:ind w:firstLine="567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Для </w:t>
      </w:r>
      <w:r w:rsidR="006E70FE"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определения пользовательских правил логического вывода 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предназначены синтаксисы: SWRL, SPIN и SHACL. Правила SWRL исторически возникли первыми</w:t>
      </w:r>
      <w:r w:rsidR="006E70FE"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,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наиболее наглядн</w:t>
      </w:r>
      <w:r w:rsidR="006E70FE"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ы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, а создавать и отлаживать такие правила можно в редакторе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Protege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.</w:t>
      </w:r>
    </w:p>
    <w:p w:rsidR="006D7A7B" w:rsidRPr="00EC77EC" w:rsidRDefault="006D7A7B" w:rsidP="006E70FE">
      <w:pPr>
        <w:shd w:val="clear" w:color="auto" w:fill="FFFFFF"/>
        <w:spacing w:after="330" w:line="240" w:lineRule="auto"/>
        <w:ind w:firstLine="567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В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Protégé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4 и 5 дл</w:t>
      </w:r>
      <w:bookmarkStart w:id="0" w:name="_GoBack"/>
      <w:bookmarkEnd w:id="0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я выполнения правил SWRL используется машина логического вывода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Pellet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, напрямую работающая с содержимым онтологий.</w:t>
      </w:r>
    </w:p>
    <w:p w:rsidR="009C6DA0" w:rsidRPr="00EC77EC" w:rsidRDefault="009C6DA0" w:rsidP="006E70FE">
      <w:pPr>
        <w:shd w:val="clear" w:color="auto" w:fill="FFFFFF"/>
        <w:spacing w:after="330" w:line="240" w:lineRule="auto"/>
        <w:ind w:firstLine="567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Синтаксис правил SWRL довольно прост. Каждое правило состоит из двух частей – условия и вывода, который формируется, если условие выполнено. И условие, и вывод могут состоять из нескольких атомов – элементарных логических выражений. Условие выполняется, если истинны все составляющие его атомы; если условие выполняется, то «сработают» все атомы, составляющие вывод. </w:t>
      </w:r>
      <w:r w:rsidR="006E70FE"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О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трицание и дизъюнкция в атомах не поддерживаются.</w:t>
      </w:r>
    </w:p>
    <w:p w:rsidR="009C6DA0" w:rsidRPr="00EC77EC" w:rsidRDefault="009C6DA0" w:rsidP="006E70FE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Каждый атом представляет собой предикат – утверждение о каких-либо объектах онтологии. Синтаксис записи предикатов соответствует 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принятому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в логике. Например, если известно, что Петр 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является сыном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Ивана, это может быть записано как предикат: </w:t>
      </w:r>
      <w:proofErr w:type="spellStart"/>
      <w:r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являетсяСыном</w:t>
      </w:r>
      <w:proofErr w:type="spellEnd"/>
      <w:r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 xml:space="preserve"> </w:t>
      </w:r>
      <w:proofErr w:type="gramStart"/>
      <w:r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 xml:space="preserve">( </w:t>
      </w:r>
      <w:proofErr w:type="gramEnd"/>
      <w:r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Петр, Иван)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. То, что указано в скобках – аргументы предиката. При составлении правил SWRL в качестве аргументов могут выступать переменные или конкретные объекты.</w:t>
      </w:r>
    </w:p>
    <w:p w:rsidR="009C6DA0" w:rsidRPr="00EC77EC" w:rsidRDefault="009C6DA0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Предикаты могут представлять собой не только утверждения о связях; рассмотрим все варианты предикатов, которые могут использоваться в правилах SWRL.</w:t>
      </w:r>
    </w:p>
    <w:p w:rsidR="006E70FE" w:rsidRPr="00EC77EC" w:rsidRDefault="009C6DA0" w:rsidP="006E70FE">
      <w:pPr>
        <w:pStyle w:val="a6"/>
        <w:numPr>
          <w:ilvl w:val="0"/>
          <w:numId w:val="1"/>
        </w:numPr>
        <w:shd w:val="clear" w:color="auto" w:fill="FFFFFF"/>
        <w:tabs>
          <w:tab w:val="left" w:pos="426"/>
        </w:tabs>
        <w:spacing w:after="330" w:line="240" w:lineRule="auto"/>
        <w:ind w:left="0" w:firstLine="0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Утверждения о принадлежности к классу. Записывается в следующей форме: Челове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к(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Петр ). Аргументом является индивидуальный объект. 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Минимальное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SW</w:t>
      </w:r>
      <w:r w:rsidR="006E70FE"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RL-правило может выглядеть так</w:t>
      </w:r>
      <w:r w:rsidR="006E70FE"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:</w:t>
      </w:r>
    </w:p>
    <w:p w:rsidR="006E70FE" w:rsidRPr="000526D1" w:rsidRDefault="009C6DA0" w:rsidP="000526D1">
      <w:pPr>
        <w:shd w:val="clear" w:color="auto" w:fill="B8CCE4" w:themeFill="accent1" w:themeFillTint="66"/>
        <w:spacing w:after="330" w:line="240" w:lineRule="auto"/>
        <w:jc w:val="center"/>
        <w:rPr>
          <w:rFonts w:ascii="Times New Roman" w:eastAsia="Times New Roman" w:hAnsi="Times New Roman" w:cs="Times New Roman"/>
          <w:color w:val="272F40"/>
          <w:sz w:val="27"/>
          <w:szCs w:val="27"/>
          <w:shd w:val="clear" w:color="auto" w:fill="B8CCE4" w:themeFill="accent1" w:themeFillTint="66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shd w:val="clear" w:color="auto" w:fill="B8CCE4" w:themeFill="accent1" w:themeFillTint="66"/>
          <w:lang w:eastAsia="ru-RU"/>
        </w:rPr>
        <w:t>Мужчина (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shd w:val="clear" w:color="auto" w:fill="B8CCE4" w:themeFill="accent1" w:themeFillTint="66"/>
          <w:lang w:eastAsia="ru-RU"/>
        </w:rPr>
        <w:t xml:space="preserve"> ?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shd w:val="clear" w:color="auto" w:fill="B8CCE4" w:themeFill="accent1" w:themeFillTint="66"/>
          <w:lang w:eastAsia="ru-RU"/>
        </w:rPr>
        <w:t>x ) -&gt; Человек ( ?x )</w:t>
      </w:r>
    </w:p>
    <w:p w:rsidR="009C6DA0" w:rsidRPr="00EC77EC" w:rsidRDefault="009C6DA0" w:rsidP="006E70FE">
      <w:pPr>
        <w:shd w:val="clear" w:color="auto" w:fill="FFFFFF" w:themeFill="background1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Это правило утверждает, что любой экземпляр класса </w:t>
      </w:r>
      <w:r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Мужчина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является и экземпляром класса </w:t>
      </w:r>
      <w:r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Человек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. Как мы видим, переменные в SWRL, как и в SPARQL, предваряются знаком вопроса</w:t>
      </w:r>
      <w:r w:rsidR="006E70FE"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.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</w:t>
      </w:r>
    </w:p>
    <w:p w:rsidR="000526D1" w:rsidRDefault="009C6DA0" w:rsidP="000526D1">
      <w:pPr>
        <w:pStyle w:val="a6"/>
        <w:numPr>
          <w:ilvl w:val="0"/>
          <w:numId w:val="1"/>
        </w:numPr>
        <w:shd w:val="clear" w:color="auto" w:fill="FFFFFF"/>
        <w:tabs>
          <w:tab w:val="left" w:pos="426"/>
        </w:tabs>
        <w:spacing w:after="330" w:line="240" w:lineRule="auto"/>
        <w:ind w:left="0" w:firstLine="0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Утверждения о существовании свя</w:t>
      </w:r>
      <w:r w:rsid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зи. Примером является </w:t>
      </w:r>
      <w:proofErr w:type="spellStart"/>
      <w:r w:rsid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выражение</w:t>
      </w:r>
    </w:p>
    <w:p w:rsidR="000526D1" w:rsidRPr="000526D1" w:rsidRDefault="009C6DA0" w:rsidP="000526D1">
      <w:pPr>
        <w:shd w:val="clear" w:color="auto" w:fill="B8CCE4" w:themeFill="accent1" w:themeFillTint="66"/>
        <w:spacing w:after="330" w:line="240" w:lineRule="auto"/>
        <w:ind w:left="360"/>
        <w:jc w:val="center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являетсяСыном</w:t>
      </w:r>
      <w:proofErr w:type="spellEnd"/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</w:t>
      </w:r>
      <w:proofErr w:type="gramStart"/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( </w:t>
      </w:r>
      <w:proofErr w:type="gramEnd"/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Петр, ?x )</w:t>
      </w:r>
    </w:p>
    <w:p w:rsidR="009C6DA0" w:rsidRPr="000526D1" w:rsidRDefault="000526D1" w:rsidP="000526D1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З</w:t>
      </w:r>
      <w:r w:rsidR="009C6DA0"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аметим, что оно будет иметь практический смы</w:t>
      </w:r>
      <w:proofErr w:type="gramStart"/>
      <w:r w:rsidR="009C6DA0"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сл в пр</w:t>
      </w:r>
      <w:proofErr w:type="gramEnd"/>
      <w:r w:rsidR="009C6DA0"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авиле только в том случае, если хотя бы один аргумент будет переменной.</w:t>
      </w:r>
    </w:p>
    <w:p w:rsidR="000526D1" w:rsidRDefault="009C6DA0" w:rsidP="000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lastRenderedPageBreak/>
        <w:t xml:space="preserve">3. Утверждения о значении свойства-литерала. При помощи способа, аналогичного 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приведенному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в предыдущем пункте, можно получать в переменные значения свойств-литералов, и затем сравнивать их с различными </w:t>
      </w:r>
    </w:p>
    <w:p w:rsidR="006E70FE" w:rsidRPr="000526D1" w:rsidRDefault="009C6DA0" w:rsidP="000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выражениями при помощи встроенных функций. Пример: </w:t>
      </w:r>
    </w:p>
    <w:p w:rsidR="006E70FE" w:rsidRPr="000526D1" w:rsidRDefault="009C6DA0" w:rsidP="000526D1">
      <w:pPr>
        <w:shd w:val="clear" w:color="auto" w:fill="B8CCE4" w:themeFill="accent1" w:themeFillTint="66"/>
        <w:spacing w:after="0" w:line="240" w:lineRule="auto"/>
        <w:jc w:val="center"/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</w:pP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имеетВозраст</w:t>
      </w:r>
      <w:proofErr w:type="spellEnd"/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 xml:space="preserve"> (</w:t>
      </w:r>
      <w:proofErr w:type="gramStart"/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 xml:space="preserve"> ?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x</w:t>
      </w:r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 xml:space="preserve"> , ?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y</w:t>
      </w:r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 xml:space="preserve"> ) </w:t>
      </w:r>
      <w:r w:rsidRPr="000526D1">
        <w:rPr>
          <w:rFonts w:ascii="Cambria Math" w:eastAsia="Times New Roman" w:hAnsi="Cambria Math" w:cs="Cambria Math"/>
          <w:color w:val="272F40"/>
          <w:sz w:val="27"/>
          <w:szCs w:val="27"/>
          <w:lang w:val="en-US" w:eastAsia="ru-RU"/>
        </w:rPr>
        <w:t>∧</w:t>
      </w:r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 xml:space="preserve">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swrlb</w:t>
      </w:r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: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greaterThanOrEqual</w:t>
      </w:r>
      <w:proofErr w:type="spellEnd"/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 xml:space="preserve"> ( ?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y</w:t>
      </w:r>
      <w:r w:rsidRPr="000526D1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, 16 ).</w:t>
      </w:r>
    </w:p>
    <w:p w:rsidR="000526D1" w:rsidRDefault="000526D1" w:rsidP="000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</w:p>
    <w:p w:rsidR="009C6DA0" w:rsidRPr="00EC77EC" w:rsidRDefault="009C6DA0" w:rsidP="000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Это условие проверяет, что объект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</w:t>
      </w:r>
      <w:r w:rsidRPr="000526D1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?</w:t>
      </w:r>
      <w:proofErr w:type="gramEnd"/>
      <w:r w:rsidRPr="000526D1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x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</w:t>
      </w:r>
      <w:r w:rsid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имеет возраст, больший или равный 16. Как мы видим из этого примера, знак </w:t>
      </w:r>
      <w:r w:rsidRPr="00EC77EC">
        <w:rPr>
          <w:rFonts w:ascii="Cambria Math" w:eastAsia="Times New Roman" w:hAnsi="Cambria Math" w:cs="Cambria Math"/>
          <w:color w:val="272F40"/>
          <w:sz w:val="27"/>
          <w:szCs w:val="27"/>
          <w:lang w:eastAsia="ru-RU"/>
        </w:rPr>
        <w:t>∧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используется для перечисления нескольких условий – это и некоторые другие обозначения соответствуют общепринятой нотации для записи логических выражений. Заметим также, что для проверки равенства значения свойства какой-либо величине можно обойтись более коротким выражением: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имеетИмя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(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?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x, "Иван"</w:t>
      </w:r>
      <w:r w:rsidR="0003146F"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)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.</w:t>
      </w:r>
    </w:p>
    <w:p w:rsidR="0003146F" w:rsidRPr="000526D1" w:rsidRDefault="009C6DA0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4. Условие раздельности двух индивидуальных объектов: </w:t>
      </w:r>
    </w:p>
    <w:p w:rsidR="009C6DA0" w:rsidRPr="00EC77EC" w:rsidRDefault="009C6DA0" w:rsidP="0003146F">
      <w:pPr>
        <w:shd w:val="clear" w:color="auto" w:fill="FFFFFF"/>
        <w:spacing w:after="330" w:line="240" w:lineRule="auto"/>
        <w:jc w:val="center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differentFrom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(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?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x, ?y )</w:t>
      </w:r>
    </w:p>
    <w:p w:rsidR="009C6DA0" w:rsidRPr="00EC77EC" w:rsidRDefault="009C6DA0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5. Условие совпадения двух объектов: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sameAs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(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?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x, ?y ). Условие будет истинно, если переменные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?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x и ?y оказались равны одному и тому же объекту.</w:t>
      </w:r>
    </w:p>
    <w:p w:rsidR="009C6DA0" w:rsidRPr="00EC77EC" w:rsidRDefault="009C6DA0" w:rsidP="0003146F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6. Условие о принадлежности значения переменной определенному типу данных. Например: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xsd:int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(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?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x )</w:t>
      </w:r>
    </w:p>
    <w:p w:rsidR="009C6DA0" w:rsidRPr="00EC77EC" w:rsidRDefault="009C6DA0" w:rsidP="0003146F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7. Так называемые встроенные условия (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built-ins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), одно из которых мы уже видели в пункте 3: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swrlb:greaterThanOrEqual</w:t>
      </w:r>
      <w:proofErr w:type="spell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. Имеется обширный набор таких функций, а также возможность определять </w:t>
      </w:r>
      <w:proofErr w:type="gram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собственные</w:t>
      </w:r>
      <w:proofErr w:type="gramEnd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.</w:t>
      </w:r>
    </w:p>
    <w:p w:rsidR="009C6DA0" w:rsidRPr="00EC77EC" w:rsidRDefault="009C6DA0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Результат формулируется при помощи атомов в такой же форме, как и условие.</w:t>
      </w:r>
    </w:p>
    <w:p w:rsidR="009C6DA0" w:rsidRPr="000526D1" w:rsidRDefault="009C6DA0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Рассмотрим </w:t>
      </w:r>
      <w:r w:rsid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процесс 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создания и выполнения правил SWRL в редакторе </w:t>
      </w:r>
      <w:proofErr w:type="spellStart"/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Protégé</w:t>
      </w:r>
      <w:proofErr w:type="spellEnd"/>
      <w:r w:rsidR="000526D1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на примере следующей онтологии</w:t>
      </w: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. </w:t>
      </w:r>
    </w:p>
    <w:p w:rsidR="0003146F" w:rsidRDefault="006D7A7B" w:rsidP="006D7A7B">
      <w:pPr>
        <w:shd w:val="clear" w:color="auto" w:fill="FFFFFF"/>
        <w:spacing w:after="330" w:line="240" w:lineRule="auto"/>
        <w:jc w:val="center"/>
        <w:rPr>
          <w:rFonts w:ascii="Arial" w:eastAsia="Times New Roman" w:hAnsi="Arial" w:cs="Arial"/>
          <w:color w:val="272F4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noProof/>
          <w:color w:val="272F40"/>
          <w:sz w:val="27"/>
          <w:szCs w:val="27"/>
          <w:lang w:eastAsia="ru-RU"/>
        </w:rPr>
        <w:lastRenderedPageBreak/>
        <w:drawing>
          <wp:inline distT="0" distB="0" distL="0" distR="0">
            <wp:extent cx="4627660" cy="5748707"/>
            <wp:effectExtent l="0" t="0" r="190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91" cy="574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7B" w:rsidRPr="00E668CE" w:rsidRDefault="0097131B" w:rsidP="006D7A7B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Между классами 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Person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и Компания в данной онтологии присутствует два типа связей: </w:t>
      </w:r>
    </w:p>
    <w:p w:rsidR="006D7A7B" w:rsidRPr="00E668CE" w:rsidRDefault="0097131B" w:rsidP="006D7A7B">
      <w:pPr>
        <w:pStyle w:val="a6"/>
        <w:numPr>
          <w:ilvl w:val="0"/>
          <w:numId w:val="4"/>
        </w:num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директор (</w:t>
      </w:r>
      <w:proofErr w:type="spellStart"/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isDirector</w:t>
      </w:r>
      <w:proofErr w:type="spellEnd"/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), </w:t>
      </w:r>
    </w:p>
    <w:p w:rsidR="0003146F" w:rsidRPr="00E668CE" w:rsidRDefault="0097131B" w:rsidP="006D7A7B">
      <w:pPr>
        <w:pStyle w:val="a6"/>
        <w:numPr>
          <w:ilvl w:val="0"/>
          <w:numId w:val="4"/>
        </w:num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работник (</w:t>
      </w:r>
      <w:proofErr w:type="spellStart"/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isWorker</w:t>
      </w:r>
      <w:proofErr w:type="spellEnd"/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).</w:t>
      </w:r>
    </w:p>
    <w:p w:rsidR="006D7A7B" w:rsidRPr="00E668CE" w:rsidRDefault="0097131B" w:rsidP="006D7A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Объекты класса 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Person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могут быть связаны друг с другом связями: </w:t>
      </w:r>
    </w:p>
    <w:p w:rsidR="006D7A7B" w:rsidRPr="00E668CE" w:rsidRDefault="006D7A7B" w:rsidP="006D7A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</w:p>
    <w:p w:rsidR="006D7A7B" w:rsidRPr="00E668CE" w:rsidRDefault="0097131B" w:rsidP="006D7A7B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“имеет ребенка”,</w:t>
      </w:r>
    </w:p>
    <w:p w:rsidR="006D7A7B" w:rsidRPr="00E668CE" w:rsidRDefault="0097131B" w:rsidP="006D7A7B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“начальник”,</w:t>
      </w:r>
    </w:p>
    <w:p w:rsidR="0097131B" w:rsidRPr="00E668CE" w:rsidRDefault="0097131B" w:rsidP="006D7A7B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“поздравляет с праздником“</w:t>
      </w:r>
    </w:p>
    <w:p w:rsidR="006D7A7B" w:rsidRPr="00E668CE" w:rsidRDefault="006D7A7B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</w:p>
    <w:p w:rsidR="0097131B" w:rsidRPr="00E668CE" w:rsidRDefault="0097131B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Класс 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Person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имеет подкласс 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Adult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(взрослый).</w:t>
      </w:r>
    </w:p>
    <w:p w:rsidR="0003146F" w:rsidRDefault="0003146F" w:rsidP="009C6DA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72F40"/>
          <w:sz w:val="27"/>
          <w:szCs w:val="27"/>
          <w:lang w:eastAsia="ru-RU"/>
        </w:rPr>
      </w:pPr>
    </w:p>
    <w:p w:rsidR="00E668CE" w:rsidRPr="00E668CE" w:rsidRDefault="00E668CE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lastRenderedPageBreak/>
        <w:t xml:space="preserve">Создаются правила на вкладке </w:t>
      </w:r>
      <w:proofErr w:type="spellStart"/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val="en-US" w:eastAsia="ru-RU"/>
        </w:rPr>
        <w:t>SWRLTab</w:t>
      </w:r>
      <w:proofErr w:type="spellEnd"/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:</w:t>
      </w:r>
    </w:p>
    <w:p w:rsidR="0003146F" w:rsidRDefault="00AE7DAD" w:rsidP="009C6DA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72F4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72F40"/>
          <w:sz w:val="27"/>
          <w:szCs w:val="27"/>
          <w:lang w:eastAsia="ru-RU"/>
        </w:rPr>
        <w:drawing>
          <wp:inline distT="0" distB="0" distL="0" distR="0">
            <wp:extent cx="3665855" cy="41821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AD" w:rsidRDefault="00AE7DAD" w:rsidP="009C6DA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72F4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72F40"/>
          <w:sz w:val="27"/>
          <w:szCs w:val="27"/>
          <w:lang w:eastAsia="ru-RU"/>
        </w:rPr>
        <w:drawing>
          <wp:inline distT="0" distB="0" distL="0" distR="0">
            <wp:extent cx="5931535" cy="18446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AD" w:rsidRPr="002130D5" w:rsidRDefault="00AE7DAD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2130D5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Рис. 1. Добавление новых правил</w:t>
      </w:r>
    </w:p>
    <w:p w:rsidR="00AE7DAD" w:rsidRPr="002130D5" w:rsidRDefault="002130D5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2130D5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Допустим, хотим определить всех взрослых людей. Тогда выделяем галочкой правило </w:t>
      </w:r>
      <w:r w:rsidRPr="002130D5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S</w:t>
      </w:r>
      <w:r w:rsidRPr="002130D5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1 и п</w:t>
      </w:r>
      <w:r w:rsidR="00AE7DAD" w:rsidRPr="002130D5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ереходим на вкладку </w:t>
      </w:r>
      <w:r w:rsidR="00AE7DAD" w:rsidRPr="002130D5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SQWRL</w:t>
      </w:r>
      <w:r w:rsidR="00AE7DAD" w:rsidRPr="002130D5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:</w:t>
      </w:r>
    </w:p>
    <w:p w:rsidR="00AE7DAD" w:rsidRPr="00AE7DAD" w:rsidRDefault="00AE7DAD" w:rsidP="009C6DA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72F40"/>
          <w:sz w:val="27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B97CE0" wp14:editId="00F263C5">
            <wp:extent cx="6054559" cy="588396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108" cy="589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AD" w:rsidRPr="00E668CE" w:rsidRDefault="002130D5" w:rsidP="00E668CE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Здесь выделяем правило </w:t>
      </w:r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val="en-US" w:eastAsia="ru-RU"/>
        </w:rPr>
        <w:t>S</w:t>
      </w:r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2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. Данное правило осуществляет вывод всех полученных в правиле </w:t>
      </w:r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val="en-US" w:eastAsia="ru-RU"/>
        </w:rPr>
        <w:t>S</w:t>
      </w:r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>1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экземпляров класса </w:t>
      </w:r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val="en-US" w:eastAsia="ru-RU"/>
        </w:rPr>
        <w:t>Adult</w:t>
      </w: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(взрослый).</w:t>
      </w:r>
    </w:p>
    <w:p w:rsidR="002130D5" w:rsidRPr="00E668CE" w:rsidRDefault="002130D5" w:rsidP="00E668CE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Для запуска вывода нажимаем кнопку </w:t>
      </w:r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val="en-US" w:eastAsia="ru-RU"/>
        </w:rPr>
        <w:t>Run</w:t>
      </w:r>
      <w:r w:rsidRPr="00E668CE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 xml:space="preserve">. </w:t>
      </w:r>
    </w:p>
    <w:p w:rsidR="002130D5" w:rsidRPr="002130D5" w:rsidRDefault="00C60074" w:rsidP="009C6DA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72F4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72F40"/>
          <w:sz w:val="27"/>
          <w:szCs w:val="27"/>
          <w:lang w:eastAsia="ru-RU"/>
        </w:rPr>
        <w:lastRenderedPageBreak/>
        <w:drawing>
          <wp:inline distT="0" distB="0" distL="0" distR="0">
            <wp:extent cx="5939790" cy="57727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AD" w:rsidRPr="00E668CE" w:rsidRDefault="00C60074" w:rsidP="00E668CE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Если запрос успешно выполняется, то его результат отображается на вкладке с именем, совпадающим с именем выполняемого правила.</w:t>
      </w:r>
    </w:p>
    <w:p w:rsidR="00C60074" w:rsidRDefault="00C60074" w:rsidP="009C6DA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72F4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72F40"/>
          <w:sz w:val="27"/>
          <w:szCs w:val="27"/>
          <w:lang w:eastAsia="ru-RU"/>
        </w:rPr>
        <w:drawing>
          <wp:inline distT="0" distB="0" distL="0" distR="0">
            <wp:extent cx="4436745" cy="1002030"/>
            <wp:effectExtent l="0" t="0" r="190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D4" w:rsidRDefault="008760D4" w:rsidP="00E668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</w:pPr>
      <w:r w:rsidRPr="00E668CE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Описание правил:</w:t>
      </w:r>
    </w:p>
    <w:p w:rsidR="00E668CE" w:rsidRPr="00E668CE" w:rsidRDefault="00E668CE" w:rsidP="00E668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</w:pPr>
    </w:p>
    <w:p w:rsidR="008760D4" w:rsidRPr="00E668CE" w:rsidRDefault="008760D4" w:rsidP="00E668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2F40"/>
          <w:sz w:val="28"/>
          <w:szCs w:val="28"/>
          <w:lang w:eastAsia="ru-RU"/>
        </w:rPr>
      </w:pPr>
      <w:r w:rsidRPr="00E668CE">
        <w:rPr>
          <w:rFonts w:ascii="Times New Roman" w:eastAsia="Times New Roman" w:hAnsi="Times New Roman" w:cs="Times New Roman"/>
          <w:b/>
          <w:color w:val="272F40"/>
          <w:sz w:val="28"/>
          <w:szCs w:val="28"/>
          <w:lang w:val="en-US" w:eastAsia="ru-RU"/>
        </w:rPr>
        <w:t>S</w:t>
      </w:r>
      <w:r w:rsidRPr="00E668CE">
        <w:rPr>
          <w:rFonts w:ascii="Times New Roman" w:eastAsia="Times New Roman" w:hAnsi="Times New Roman" w:cs="Times New Roman"/>
          <w:b/>
          <w:color w:val="272F40"/>
          <w:sz w:val="28"/>
          <w:szCs w:val="28"/>
          <w:lang w:eastAsia="ru-RU"/>
        </w:rPr>
        <w:t>3</w:t>
      </w:r>
      <w:r w:rsidRPr="00E668CE">
        <w:rPr>
          <w:rFonts w:ascii="Times New Roman" w:eastAsia="Times New Roman" w:hAnsi="Times New Roman" w:cs="Times New Roman"/>
          <w:color w:val="272F40"/>
          <w:sz w:val="28"/>
          <w:szCs w:val="28"/>
          <w:lang w:eastAsia="ru-RU"/>
        </w:rPr>
        <w:t>:  для каждого человека определить количество детей.</w:t>
      </w:r>
    </w:p>
    <w:p w:rsidR="008760D4" w:rsidRPr="00E668CE" w:rsidRDefault="008760D4" w:rsidP="00E668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72F40"/>
          <w:sz w:val="28"/>
          <w:szCs w:val="28"/>
          <w:lang w:eastAsia="ru-RU"/>
        </w:rPr>
      </w:pPr>
      <w:r w:rsidRPr="00E668CE">
        <w:rPr>
          <w:rFonts w:ascii="Times New Roman" w:eastAsia="Times New Roman" w:hAnsi="Times New Roman" w:cs="Times New Roman"/>
          <w:b/>
          <w:color w:val="272F40"/>
          <w:sz w:val="28"/>
          <w:szCs w:val="28"/>
          <w:lang w:val="en-US" w:eastAsia="ru-RU"/>
        </w:rPr>
        <w:t>S</w:t>
      </w:r>
      <w:r w:rsidRPr="00E668CE">
        <w:rPr>
          <w:rFonts w:ascii="Times New Roman" w:eastAsia="Times New Roman" w:hAnsi="Times New Roman" w:cs="Times New Roman"/>
          <w:b/>
          <w:color w:val="272F40"/>
          <w:sz w:val="28"/>
          <w:szCs w:val="28"/>
          <w:lang w:eastAsia="ru-RU"/>
        </w:rPr>
        <w:t>4</w:t>
      </w:r>
      <w:r w:rsidRPr="00E668CE">
        <w:rPr>
          <w:rFonts w:ascii="Times New Roman" w:eastAsia="Times New Roman" w:hAnsi="Times New Roman" w:cs="Times New Roman"/>
          <w:color w:val="272F40"/>
          <w:sz w:val="28"/>
          <w:szCs w:val="28"/>
          <w:lang w:eastAsia="ru-RU"/>
        </w:rPr>
        <w:t>: определение среднего возраста.</w:t>
      </w:r>
    </w:p>
    <w:p w:rsidR="008760D4" w:rsidRPr="00E668CE" w:rsidRDefault="008760D4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8"/>
          <w:szCs w:val="28"/>
          <w:lang w:eastAsia="ru-RU"/>
        </w:rPr>
      </w:pPr>
      <w:r w:rsidRPr="00E668CE">
        <w:rPr>
          <w:rFonts w:ascii="Times New Roman" w:eastAsia="Times New Roman" w:hAnsi="Times New Roman" w:cs="Times New Roman"/>
          <w:b/>
          <w:color w:val="272F40"/>
          <w:sz w:val="28"/>
          <w:szCs w:val="28"/>
          <w:lang w:val="en-US" w:eastAsia="ru-RU"/>
        </w:rPr>
        <w:t>S</w:t>
      </w:r>
      <w:r w:rsidRPr="00E668CE">
        <w:rPr>
          <w:rFonts w:ascii="Times New Roman" w:eastAsia="Times New Roman" w:hAnsi="Times New Roman" w:cs="Times New Roman"/>
          <w:b/>
          <w:color w:val="272F40"/>
          <w:sz w:val="28"/>
          <w:szCs w:val="28"/>
          <w:lang w:eastAsia="ru-RU"/>
        </w:rPr>
        <w:t xml:space="preserve">5, </w:t>
      </w:r>
      <w:r w:rsidRPr="00E668CE">
        <w:rPr>
          <w:rFonts w:ascii="Times New Roman" w:eastAsia="Times New Roman" w:hAnsi="Times New Roman" w:cs="Times New Roman"/>
          <w:b/>
          <w:color w:val="272F40"/>
          <w:sz w:val="28"/>
          <w:szCs w:val="28"/>
          <w:lang w:val="en-US" w:eastAsia="ru-RU"/>
        </w:rPr>
        <w:t>S</w:t>
      </w:r>
      <w:r w:rsidRPr="00E668CE">
        <w:rPr>
          <w:rFonts w:ascii="Times New Roman" w:eastAsia="Times New Roman" w:hAnsi="Times New Roman" w:cs="Times New Roman"/>
          <w:b/>
          <w:color w:val="272F40"/>
          <w:sz w:val="28"/>
          <w:szCs w:val="28"/>
          <w:lang w:eastAsia="ru-RU"/>
        </w:rPr>
        <w:t>7</w:t>
      </w:r>
      <w:r w:rsidRPr="00E668CE">
        <w:rPr>
          <w:rFonts w:ascii="Times New Roman" w:eastAsia="Times New Roman" w:hAnsi="Times New Roman" w:cs="Times New Roman"/>
          <w:color w:val="272F40"/>
          <w:sz w:val="28"/>
          <w:szCs w:val="28"/>
          <w:lang w:eastAsia="ru-RU"/>
        </w:rPr>
        <w:t>: директора компаний поздравляют детей своих сотрудников с праздником.</w:t>
      </w:r>
    </w:p>
    <w:p w:rsidR="008760D4" w:rsidRPr="005011A4" w:rsidRDefault="00EA3815" w:rsidP="00904BDA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lastRenderedPageBreak/>
        <w:t>Знания, полученные в результате логического вывода, могут быть  автоматически добавлены в онтологию.</w:t>
      </w:r>
      <w:r w:rsidR="00904BDA"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Для этого на вкладке </w:t>
      </w:r>
      <w:r w:rsidR="00904BDA"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SWRL</w:t>
      </w:r>
      <w:r w:rsidR="00904BDA"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последовательно выполните следующие действия:</w:t>
      </w:r>
    </w:p>
    <w:p w:rsidR="00F76ED9" w:rsidRPr="005011A4" w:rsidRDefault="00A2724F" w:rsidP="00A2724F">
      <w:pPr>
        <w:pStyle w:val="a6"/>
        <w:numPr>
          <w:ilvl w:val="0"/>
          <w:numId w:val="5"/>
        </w:num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Перенести знания из онтологии и правила в механизм вывода 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Drools</w:t>
      </w:r>
      <w:r w:rsidR="00F76ED9"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. </w:t>
      </w:r>
    </w:p>
    <w:p w:rsidR="00F76ED9" w:rsidRPr="005011A4" w:rsidRDefault="00F76ED9" w:rsidP="00A2724F">
      <w:pPr>
        <w:pStyle w:val="a6"/>
        <w:numPr>
          <w:ilvl w:val="0"/>
          <w:numId w:val="5"/>
        </w:num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Выполнить логический вывод</w:t>
      </w:r>
    </w:p>
    <w:p w:rsidR="00904BDA" w:rsidRPr="005011A4" w:rsidRDefault="00F76ED9" w:rsidP="00A2724F">
      <w:pPr>
        <w:pStyle w:val="a6"/>
        <w:numPr>
          <w:ilvl w:val="0"/>
          <w:numId w:val="5"/>
        </w:num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Поместить результаты вывода в онтологию.</w:t>
      </w:r>
      <w:r w:rsidR="00A2724F"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</w:t>
      </w:r>
    </w:p>
    <w:p w:rsidR="00D732F3" w:rsidRPr="00F76ED9" w:rsidRDefault="00904BDA" w:rsidP="009C6DA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72F4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72F40"/>
          <w:sz w:val="27"/>
          <w:szCs w:val="27"/>
          <w:lang w:eastAsia="ru-RU"/>
        </w:rPr>
        <w:drawing>
          <wp:inline distT="0" distB="0" distL="0" distR="0">
            <wp:extent cx="4866005" cy="7156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15" w:rsidRPr="005011A4" w:rsidRDefault="00D732F3" w:rsidP="00D732F3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В результате срабатывания правила 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S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1 экземпляры класса 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People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Иванов и Петров стали также представителями подкласса 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Adult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 xml:space="preserve"> (взрослый).</w:t>
      </w:r>
    </w:p>
    <w:p w:rsidR="008760D4" w:rsidRPr="005011A4" w:rsidRDefault="00D732F3" w:rsidP="00904BDA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В результате срабатывания правил (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S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5,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val="en-US" w:eastAsia="ru-RU"/>
        </w:rPr>
        <w:t>S</w:t>
      </w:r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7) в онтологии появились связи “поздравляет” между директором компании “</w:t>
      </w:r>
      <w:proofErr w:type="spellStart"/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Проектстройсервис</w:t>
      </w:r>
      <w:proofErr w:type="spellEnd"/>
      <w:r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” Петровым и д</w:t>
      </w:r>
      <w:r w:rsidR="00904BDA" w:rsidRPr="005011A4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етьми сотрудников этой компании.</w:t>
      </w:r>
    </w:p>
    <w:p w:rsidR="00C60074" w:rsidRPr="00C60074" w:rsidRDefault="008760D4" w:rsidP="009C6DA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72F4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72F40"/>
          <w:sz w:val="27"/>
          <w:szCs w:val="27"/>
          <w:lang w:eastAsia="ru-RU"/>
        </w:rPr>
        <w:drawing>
          <wp:inline distT="0" distB="0" distL="0" distR="0">
            <wp:extent cx="5931535" cy="30772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7EC" w:rsidRPr="00EC77EC" w:rsidRDefault="00EC77EC" w:rsidP="009C6DA0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val="en-US" w:eastAsia="ru-RU"/>
        </w:rPr>
        <w:t xml:space="preserve"> </w:t>
      </w:r>
      <w:r w:rsidRPr="00EC77EC">
        <w:rPr>
          <w:rFonts w:ascii="Times New Roman" w:eastAsia="Times New Roman" w:hAnsi="Times New Roman" w:cs="Times New Roman"/>
          <w:b/>
          <w:color w:val="272F40"/>
          <w:sz w:val="27"/>
          <w:szCs w:val="27"/>
          <w:lang w:eastAsia="ru-RU"/>
        </w:rPr>
        <w:t xml:space="preserve">Задание </w:t>
      </w:r>
    </w:p>
    <w:p w:rsidR="006D7A7B" w:rsidRPr="00EC77EC" w:rsidRDefault="00EC77EC" w:rsidP="00EC77EC">
      <w:pPr>
        <w:pStyle w:val="a6"/>
        <w:numPr>
          <w:ilvl w:val="0"/>
          <w:numId w:val="6"/>
        </w:num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Изучите рассмотренные примеры.</w:t>
      </w:r>
    </w:p>
    <w:p w:rsidR="00EC77EC" w:rsidRPr="00EC77EC" w:rsidRDefault="00EC77EC" w:rsidP="00EC77EC">
      <w:pPr>
        <w:pStyle w:val="a6"/>
        <w:numPr>
          <w:ilvl w:val="0"/>
          <w:numId w:val="6"/>
        </w:num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</w:pPr>
      <w:r w:rsidRPr="00EC77EC">
        <w:rPr>
          <w:rFonts w:ascii="Times New Roman" w:eastAsia="Times New Roman" w:hAnsi="Times New Roman" w:cs="Times New Roman"/>
          <w:color w:val="272F40"/>
          <w:sz w:val="27"/>
          <w:szCs w:val="27"/>
          <w:lang w:eastAsia="ru-RU"/>
        </w:rPr>
        <w:t>Создайте несколько правил для своей семантической сети.</w:t>
      </w:r>
    </w:p>
    <w:sectPr w:rsidR="00EC77EC" w:rsidRPr="00EC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119"/>
    <w:multiLevelType w:val="hybridMultilevel"/>
    <w:tmpl w:val="5142A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26538"/>
    <w:multiLevelType w:val="hybridMultilevel"/>
    <w:tmpl w:val="D4B6C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63453"/>
    <w:multiLevelType w:val="hybridMultilevel"/>
    <w:tmpl w:val="23FA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46CB9"/>
    <w:multiLevelType w:val="hybridMultilevel"/>
    <w:tmpl w:val="1694A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925AE"/>
    <w:multiLevelType w:val="hybridMultilevel"/>
    <w:tmpl w:val="6D9A0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7118F"/>
    <w:multiLevelType w:val="hybridMultilevel"/>
    <w:tmpl w:val="94B2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0F"/>
    <w:rsid w:val="0003146F"/>
    <w:rsid w:val="000526D1"/>
    <w:rsid w:val="002130D5"/>
    <w:rsid w:val="0043270F"/>
    <w:rsid w:val="004C4E06"/>
    <w:rsid w:val="005011A4"/>
    <w:rsid w:val="005F309E"/>
    <w:rsid w:val="00636F2D"/>
    <w:rsid w:val="006D7A7B"/>
    <w:rsid w:val="006E70FE"/>
    <w:rsid w:val="008760D4"/>
    <w:rsid w:val="00904BDA"/>
    <w:rsid w:val="00921FB6"/>
    <w:rsid w:val="00923BC2"/>
    <w:rsid w:val="0097131B"/>
    <w:rsid w:val="009C6DA0"/>
    <w:rsid w:val="00A2724F"/>
    <w:rsid w:val="00AE7DAD"/>
    <w:rsid w:val="00C60074"/>
    <w:rsid w:val="00D732F3"/>
    <w:rsid w:val="00DF419E"/>
    <w:rsid w:val="00E668CE"/>
    <w:rsid w:val="00EA3815"/>
    <w:rsid w:val="00EC77EC"/>
    <w:rsid w:val="00F76ED9"/>
    <w:rsid w:val="00F9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DA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70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6DA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12</cp:revision>
  <dcterms:created xsi:type="dcterms:W3CDTF">2022-10-11T06:31:00Z</dcterms:created>
  <dcterms:modified xsi:type="dcterms:W3CDTF">2022-10-14T02:17:00Z</dcterms:modified>
</cp:coreProperties>
</file>