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00"/>
      </w:pPr>
      <w:r>
        <w:rPr>
          <w:rFonts w:ascii="Calibri" w:hAnsi="Calibri"/>
          <w:b/>
          <w:i w:val="0"/>
          <w:color w:val="0B2545"/>
          <w:sz w:val="50"/>
        </w:rPr>
        <w:t>Руководство пользователя</w:t>
      </w:r>
    </w:p>
    <w:p>
      <w:pPr>
        <w:spacing w:after="360"/>
      </w:pPr>
      <w:r>
        <w:rPr>
          <w:rFonts w:ascii="Calibri" w:hAnsi="Calibri"/>
          <w:b w:val="0"/>
          <w:i w:val="0"/>
          <w:color w:val="667085"/>
          <w:sz w:val="28"/>
        </w:rPr>
        <w:t>Работа в операторской системе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Версия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1.0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Дата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22 июля 2026 г.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Основание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Актуальная структура исходного кода проекта</w:t>
            </w:r>
          </w:p>
        </w:tc>
      </w:tr>
    </w:tbl>
    <w:p/>
    <w:p>
      <w:pPr>
        <w:pStyle w:val="Heading1"/>
      </w:pPr>
      <w:r>
        <w:t>Содержание</w:t>
      </w:r>
    </w:p>
    <w:p>
      <w:pPr>
        <w:spacing w:after="60"/>
      </w:pPr>
      <w:r>
        <w:rPr>
          <w:rFonts w:ascii="Calibri" w:hAnsi="Calibri"/>
          <w:b w:val="0"/>
          <w:i w:val="0"/>
          <w:color w:val="1F4D78"/>
          <w:sz w:val="22"/>
        </w:rPr>
        <w:t>1. Назначение и роли</w:t>
      </w:r>
    </w:p>
    <w:p>
      <w:pPr>
        <w:spacing w:after="60"/>
      </w:pPr>
      <w:r>
        <w:rPr>
          <w:rFonts w:ascii="Calibri" w:hAnsi="Calibri"/>
          <w:b w:val="0"/>
          <w:i w:val="0"/>
          <w:color w:val="1F4D78"/>
          <w:sz w:val="22"/>
        </w:rPr>
        <w:t>2. Рабочий процесс</w:t>
      </w:r>
    </w:p>
    <w:p>
      <w:pPr>
        <w:spacing w:after="60"/>
      </w:pPr>
      <w:r>
        <w:rPr>
          <w:rFonts w:ascii="Calibri" w:hAnsi="Calibri"/>
          <w:b w:val="0"/>
          <w:i w:val="0"/>
          <w:color w:val="1F4D78"/>
          <w:sz w:val="22"/>
        </w:rPr>
        <w:t>3. Исходные данные и справочники</w:t>
      </w:r>
    </w:p>
    <w:p>
      <w:pPr>
        <w:spacing w:after="60"/>
      </w:pPr>
      <w:r>
        <w:rPr>
          <w:rFonts w:ascii="Calibri" w:hAnsi="Calibri"/>
          <w:b w:val="0"/>
          <w:i w:val="0"/>
          <w:color w:val="1F4D78"/>
          <w:sz w:val="22"/>
        </w:rPr>
        <w:t>4. Планирование и расчёт</w:t>
      </w:r>
    </w:p>
    <w:p>
      <w:pPr>
        <w:spacing w:after="60"/>
      </w:pPr>
      <w:r>
        <w:rPr>
          <w:rFonts w:ascii="Calibri" w:hAnsi="Calibri"/>
          <w:b w:val="0"/>
          <w:i w:val="0"/>
          <w:color w:val="1F4D78"/>
          <w:sz w:val="22"/>
        </w:rPr>
        <w:t>5. Проверка, редактирование и публикация</w:t>
      </w:r>
    </w:p>
    <w:p>
      <w:pPr>
        <w:spacing w:after="60"/>
      </w:pPr>
      <w:r>
        <w:rPr>
          <w:rFonts w:ascii="Calibri" w:hAnsi="Calibri"/>
          <w:b w:val="0"/>
          <w:i w:val="0"/>
          <w:color w:val="1F4D78"/>
          <w:sz w:val="22"/>
        </w:rPr>
        <w:t>6. Частые ситуации</w:t>
      </w:r>
    </w:p>
    <w:p>
      <w:pPr>
        <w:pStyle w:val="Heading1"/>
      </w:pPr>
      <w:r>
        <w:t>1. Назначение и роли</w:t>
      </w:r>
    </w:p>
    <w:p>
      <w:r>
        <w:rPr>
          <w:rFonts w:ascii="Calibri" w:hAnsi="Calibri"/>
          <w:b w:val="0"/>
          <w:i w:val="0"/>
          <w:color w:val="000000"/>
          <w:sz w:val="22"/>
        </w:rPr>
        <w:t>«Умное Расписание» помогает оператору подготовить исходные учебные данные, настроить ограничения, сформировать расписание, проверить результат, внести допустимые ручные правки и выгрузить утверждённую версию в Excel.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Роль</w:t>
            </w:r>
          </w:p>
        </w:tc>
        <w:tc>
          <w:tcPr>
            <w:tcW w:type="dxa" w:w="67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Ответственность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Оператор расписания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Импортирует данные, настраивает календарь и правила, запускает расчёты, проверяет результат, вносит правки.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Администратор справочников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Поддерживает аудитории, оснащение, типы занятий, дисциплины, профили правил и доступность.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Руководитель / согласующий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Проверяет опубликованную версию и использует выгрузку Excel.</w:t>
            </w:r>
          </w:p>
        </w:tc>
      </w:tr>
    </w:tbl>
    <w:p>
      <w:pPr>
        <w:spacing w:after="40"/>
      </w:pPr>
    </w:p>
    <w:p>
      <w:pPr>
        <w:pStyle w:val="Heading1"/>
      </w:pPr>
      <w:r>
        <w:t>2. Рабочий процесс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2"/>
        </w:rPr>
        <w:t>Откройте «Исходные данные» и загрузите файл учебной нагрузки в формате XLS, XLSX или CSV.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2"/>
        </w:rPr>
        <w:t>В «Учебных потоках» проверьте состав дисциплин, групп, преподавателей и число занятий; исключите из расчёта ненужные потоки.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2"/>
        </w:rPr>
        <w:t>В «Справочниках» убедитесь, что активны необходимые аудитории, указана вместимость и оснащение, а у типов занятий заданы требования к аудиториям.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2"/>
        </w:rPr>
        <w:t>В «Календаре» создайте учебный период, недели и ограничения доступности для преподавателей, групп, аудиторий или университета.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2"/>
        </w:rPr>
        <w:t>В «Расчётах» распределите нагрузку по неделям, задайте приоритеты и праздничные дни, затем запустите расчёт.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2"/>
        </w:rPr>
        <w:t>В «Расписании» изучите сетку, предупреждения и конфликты. При необходимости отредактируйте записи и зафиксируйте важные занятия.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2"/>
        </w:rPr>
        <w:t>В «Журнале операций» опубликуйте согласованную версию. После публикации используйте экспорт Excel для выдачи расписания.</w:t>
      </w:r>
    </w:p>
    <w:p>
      <w:pPr>
        <w:pStyle w:val="Heading1"/>
      </w:pPr>
      <w:r>
        <w:t>3. Исходные данные и справочники</w:t>
      </w:r>
    </w:p>
    <w:p>
      <w:pPr>
        <w:pStyle w:val="Heading2"/>
      </w:pPr>
      <w:r>
        <w:t>3.1 Импорт учебных данных</w:t>
      </w:r>
    </w:p>
    <w:p>
      <w:r>
        <w:rPr>
          <w:rFonts w:ascii="Calibri" w:hAnsi="Calibri"/>
          <w:b w:val="0"/>
          <w:i w:val="0"/>
          <w:color w:val="000000"/>
          <w:sz w:val="22"/>
        </w:rPr>
        <w:t>Раздел «Исходные данные» хранит историю загрузок. Импорт создаёт партию данных и связанные учебные потоки. Перед загрузкой убедитесь, что файл содержит актуальные группы, дисциплины, преподавателей и учебную нагрузку.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Поддерживаются файлы .xls, .xlsx и .csv. Файлы другого типа отклоняются системой.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После загрузки проверьте число добавленных потоков и групп, затем откройте историю импорта.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Удаление партии импорта предназначено для ошибочной загрузки: связанные потоки удаляются вместе с партией. Не удаляйте исходную партию, если на ней уже основана согласуемая версия расписания.</w:t>
      </w:r>
    </w:p>
    <w:p>
      <w:pPr>
        <w:pStyle w:val="Heading2"/>
      </w:pPr>
      <w:r>
        <w:t>3.2 Учебные потоки</w:t>
      </w:r>
    </w:p>
    <w:p>
      <w:r>
        <w:rPr>
          <w:rFonts w:ascii="Calibri" w:hAnsi="Calibri"/>
          <w:b w:val="0"/>
          <w:i w:val="0"/>
          <w:color w:val="000000"/>
          <w:sz w:val="22"/>
        </w:rPr>
        <w:t>В «Редакторе пар» можно отфильтровать поток по группе и типу занятий, изменить тип и пометить поток как исключённый. Исключённые потоки не должны участвовать в последующем расчёте.</w:t>
      </w:r>
    </w:p>
    <w:p>
      <w:pPr>
        <w:pStyle w:val="Heading2"/>
      </w:pPr>
      <w:r>
        <w:t>3.3 Справочники и доступность</w:t>
      </w:r>
    </w:p>
    <w:p>
      <w:r>
        <w:rPr>
          <w:rFonts w:ascii="Calibri" w:hAnsi="Calibri"/>
          <w:b w:val="0"/>
          <w:i w:val="0"/>
          <w:color w:val="000000"/>
          <w:sz w:val="22"/>
        </w:rPr>
        <w:t>В «Справочниках» ведутся корпуса, аудитории, оснащение, типы занятий, дисциплины, профили правил, преподаватели и группы. Для аудитории указываются тип, вместимость, активность и оснащение. Неактивная аудитория не может использоваться как ресурс в корректном расписании.</w:t>
      </w:r>
    </w:p>
    <w:p>
      <w:r>
        <w:rPr>
          <w:rFonts w:ascii="Calibri" w:hAnsi="Calibri"/>
          <w:b w:val="0"/>
          <w:i w:val="0"/>
          <w:color w:val="000000"/>
          <w:sz w:val="22"/>
        </w:rPr>
        <w:t>Правило доступности задаётся для преподавателя, группы, аудитории или глобально. Оно может быть еженедельным, для конкретной даты или диапазона дат. Режимы: недоступно, доступно, предпочтительно; правило может быть жёстким либо иметь вес 1–10.</w:t>
      </w:r>
    </w:p>
    <w:p>
      <w:pPr>
        <w:pStyle w:val="Heading1"/>
      </w:pPr>
      <w:r>
        <w:t>4. Планирование и расчёт</w:t>
      </w:r>
    </w:p>
    <w:p>
      <w:pPr>
        <w:pStyle w:val="Heading2"/>
      </w:pPr>
      <w:r>
        <w:t>4.1 Календарь и недельная нагрузка</w:t>
      </w:r>
    </w:p>
    <w:p>
      <w:r>
        <w:rPr>
          <w:rFonts w:ascii="Calibri" w:hAnsi="Calibri"/>
          <w:b w:val="0"/>
          <w:i w:val="0"/>
          <w:color w:val="000000"/>
          <w:sz w:val="22"/>
        </w:rPr>
        <w:t>Создайте учебный период с датой начала и окончания. Система хранит планирование по неделям: для каждого потока задаётся количество занятий и приоритет. Это позволяет корректно учитывать неравномерную нагрузку в семестре.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shd w:fill="F2F4F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Ограничение расчёта.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Один запуск ограничен горизонтом в 14 календарных дней. Семестр формируется последовательностью недельных задач; не пытайтесь рассчитывать весь семестр как один длительный запуск.</w:t>
            </w:r>
          </w:p>
        </w:tc>
      </w:tr>
    </w:tbl>
    <w:p>
      <w:pPr>
        <w:spacing w:after="40"/>
      </w:pPr>
    </w:p>
    <w:p>
      <w:pPr>
        <w:pStyle w:val="Heading2"/>
      </w:pPr>
      <w:r>
        <w:t>4.2 Запуск расчёта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2"/>
        </w:rPr>
        <w:t>Откройте раздел «Расчёты» и выберите подготовленный период/недели.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2"/>
        </w:rPr>
        <w:t>Уточните активные типы занятий, приоритеты дисциплин и праздники.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2"/>
        </w:rPr>
        <w:t>Запустите расчёт и наблюдайте прогресс выполнения. Параллельный запуск в пересекающейся области система не допускает.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2"/>
        </w:rPr>
        <w:t>После завершения перейдите в «Расписание» либо «Журнал операций» для анализа версии и её диагностики.</w:t>
      </w:r>
    </w:p>
    <w:p>
      <w:pPr>
        <w:pStyle w:val="Heading1"/>
      </w:pPr>
      <w:r>
        <w:t>5. Проверка, редактирование и публикация</w:t>
      </w:r>
    </w:p>
    <w:p>
      <w:pPr>
        <w:pStyle w:val="Heading2"/>
      </w:pPr>
      <w:r>
        <w:t>5.1 Проверка результата</w:t>
      </w:r>
    </w:p>
    <w:p>
      <w:r>
        <w:rPr>
          <w:rFonts w:ascii="Calibri" w:hAnsi="Calibri"/>
          <w:b w:val="0"/>
          <w:i w:val="0"/>
          <w:color w:val="000000"/>
          <w:sz w:val="22"/>
        </w:rPr>
        <w:t>В «Расписании» выберите расчёт, группу и неделю. Сетка показывает пары и занятия. Карточки содержат дисциплину, тип занятия, преподавателя, аудиторию и предупреждения. Список конфликтов показывает записи, требующие внимания.</w:t>
      </w:r>
    </w:p>
    <w:p>
      <w:pPr>
        <w:pStyle w:val="Heading2"/>
      </w:pPr>
      <w:r>
        <w:t>5.2 Ручная корректировка</w:t>
      </w:r>
    </w:p>
    <w:p>
      <w:r>
        <w:rPr>
          <w:rFonts w:ascii="Calibri" w:hAnsi="Calibri"/>
          <w:b w:val="0"/>
          <w:i w:val="0"/>
          <w:color w:val="000000"/>
          <w:sz w:val="22"/>
        </w:rPr>
        <w:t>При изменении даты, номера пары, преподавателя или аудитории сервер проверяет пересечение группы, преподавателя и аудитории; доступность; активность аудитории; а также принадлежность даты периоду версии. При нарушении правка отклоняется с перечнем причин. Если занятие нельзя сдвигать при следующей генерации, включите его фиксацию.</w:t>
      </w:r>
    </w:p>
    <w:p>
      <w:pPr>
        <w:pStyle w:val="Heading2"/>
      </w:pPr>
      <w:r>
        <w:t>5.3 Версии и публикация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Черновик — результат расчёта и ручной корректировки. Его можно проверять, отменять или повторно запускать.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Публикация делает версию действующей; предыдущая опубликованная версия того же периода архивируется.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Опубликованная версия доступна только для чтения. Экспорт без выбора задачи выгружает опубликованную версию.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Каждая ручная правка увеличивает редакцию версии, поэтому экспорт соответствует конкретному состоянию расписания.</w:t>
      </w:r>
    </w:p>
    <w:p>
      <w:pPr>
        <w:pStyle w:val="Heading2"/>
      </w:pPr>
      <w:r>
        <w:t>5.4 Выгрузка</w:t>
      </w:r>
    </w:p>
    <w:p>
      <w:r>
        <w:rPr>
          <w:rFonts w:ascii="Calibri" w:hAnsi="Calibri"/>
          <w:b w:val="0"/>
          <w:i w:val="0"/>
          <w:color w:val="000000"/>
          <w:sz w:val="22"/>
        </w:rPr>
        <w:t>Экспорт формирует Excel-файл. Он включает лист с исходными строками и лист «Расписание» с сеткой по датам, парам и группам. Предупреждения и типы занятий визуально выделяются, что удобно для согласования.</w:t>
      </w:r>
    </w:p>
    <w:p>
      <w:pPr>
        <w:pStyle w:val="Heading1"/>
      </w:pPr>
      <w:r>
        <w:t>6. Частые ситуации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Ситуация</w:t>
            </w:r>
          </w:p>
        </w:tc>
        <w:tc>
          <w:tcPr>
            <w:tcW w:type="dxa" w:w="65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Действие оператора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Расчёт не запускается (конфликт 409)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Дождитесь завершения, отмены или ошибки пересекающегося расчёта. Повторный запуск разблокируется автоматически после завершения жизненного цикла задачи.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Занятие нельзя перенести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Проверьте сообщение системы: обычно конфликтует группа, преподаватель, аудитория, правило доступности либо дата вне периода.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В результате нет аудитории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Проверьте вместимость, активность, тип аудитории и требуемое оснащение. Скорректируйте справочник или настройку потока, затем запустите новый расчёт.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Нужно остановить долгий расчёт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Откройте «Журнал операций» и отмените задачу. После отмены можно скорректировать условия и выполнить повторный запуск.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Нужна корректировка уже опубликованного расписания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Не изменяйте опубликованную версию напрямую. Создайте/повторите расчёт как новую версию, внесите правки, согласуйте и опубликуйте её.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67085"/>
        <w:sz w:val="18"/>
      </w:rP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2E74B5"/>
        <w:sz w:val="18"/>
      </w:rPr>
      <w:t xml:space="preserve">УМНОЕ РАСПИСАНИЕ  |  </w:t>
    </w:r>
    <w:r>
      <w:rPr>
        <w:rFonts w:ascii="Calibri" w:hAnsi="Calibri"/>
        <w:b w:val="0"/>
        <w:i w:val="0"/>
        <w:color w:val="667085"/>
        <w:sz w:val="18"/>
      </w:rPr>
      <w:t>РАБОТА В ОПЕРАТОРСКОЙ СИСТЕМЕ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