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E742" w14:textId="77777777" w:rsidR="005017B9" w:rsidRPr="00C516E5" w:rsidRDefault="005017B9" w:rsidP="005017B9">
      <w:pPr>
        <w:pStyle w:val="1"/>
        <w:jc w:val="center"/>
        <w:rPr>
          <w:rFonts w:cs="Times New Roman"/>
        </w:rPr>
      </w:pPr>
      <w:bookmarkStart w:id="0" w:name="_Toc113620503"/>
      <w:r w:rsidRPr="00C516E5">
        <w:rPr>
          <w:rFonts w:cs="Times New Roman"/>
        </w:rPr>
        <w:t>Теория по поглощению</w:t>
      </w:r>
      <w:bookmarkEnd w:id="0"/>
    </w:p>
    <w:p w14:paraId="73358FC9" w14:textId="77777777" w:rsidR="005017B9" w:rsidRPr="00C516E5" w:rsidRDefault="005017B9" w:rsidP="005017B9">
      <w:pPr>
        <w:pStyle w:val="2"/>
        <w:jc w:val="center"/>
        <w:rPr>
          <w:rFonts w:cs="Times New Roman"/>
          <w:sz w:val="28"/>
          <w:szCs w:val="28"/>
        </w:rPr>
      </w:pPr>
      <w:bookmarkStart w:id="1" w:name="_Toc32838316"/>
      <w:bookmarkStart w:id="2" w:name="_Toc113620504"/>
      <w:r w:rsidRPr="00C516E5">
        <w:rPr>
          <w:rFonts w:cs="Times New Roman"/>
          <w:sz w:val="28"/>
          <w:szCs w:val="28"/>
        </w:rPr>
        <w:t>Параметры, описывающие величину поглощения</w:t>
      </w:r>
      <w:bookmarkEnd w:id="1"/>
      <w:bookmarkEnd w:id="2"/>
    </w:p>
    <w:p w14:paraId="68DA16CA" w14:textId="77777777" w:rsidR="005017B9" w:rsidRPr="00C516E5" w:rsidRDefault="005017B9" w:rsidP="005017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16E5">
        <w:rPr>
          <w:rFonts w:ascii="Times New Roman" w:hAnsi="Times New Roman" w:cs="Times New Roman"/>
          <w:sz w:val="24"/>
          <w:szCs w:val="24"/>
        </w:rPr>
        <w:t xml:space="preserve">Величина поглощения проходящих сейсмических волн через изучаемую среду описывается различными параметрами, такими как коэффициент поглощения </w:t>
      </w:r>
      <w:r w:rsidRPr="00C516E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27E54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1.55pt" o:ole="">
            <v:imagedata r:id="rId5" o:title=""/>
          </v:shape>
          <o:OLEObject Type="Embed" ProgID="Equation.DSMT4" ShapeID="_x0000_i1025" DrawAspect="Content" ObjectID="_1724837538" r:id="rId6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, логарифмический декремент поглощения </w:t>
      </w:r>
      <w:r w:rsidRPr="00C516E5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21A36B3D">
          <v:shape id="_x0000_i1026" type="#_x0000_t75" style="width:11.55pt;height:14.25pt" o:ole="">
            <v:imagedata r:id="rId7" o:title=""/>
          </v:shape>
          <o:OLEObject Type="Embed" ProgID="Equation.DSMT4" ShapeID="_x0000_i1026" DrawAspect="Content" ObjectID="_1724837539" r:id="rId8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и обратная добротность </w:t>
      </w:r>
      <w:r w:rsidRPr="00C516E5">
        <w:rPr>
          <w:rFonts w:ascii="Times New Roman" w:hAnsi="Times New Roman" w:cs="Times New Roman"/>
          <w:position w:val="-10"/>
          <w:sz w:val="24"/>
          <w:szCs w:val="24"/>
        </w:rPr>
        <w:object w:dxaOrig="400" w:dyaOrig="360" w14:anchorId="1555C433">
          <v:shape id="_x0000_i1027" type="#_x0000_t75" style="width:20.4pt;height:19pt" o:ole="">
            <v:imagedata r:id="rId9" o:title=""/>
          </v:shape>
          <o:OLEObject Type="Embed" ProgID="Equation.DSMT4" ShapeID="_x0000_i1027" DrawAspect="Content" ObjectID="_1724837540" r:id="rId10"/>
        </w:object>
      </w:r>
      <w:r w:rsidRPr="00C516E5">
        <w:rPr>
          <w:rFonts w:ascii="Times New Roman" w:hAnsi="Times New Roman" w:cs="Times New Roman"/>
          <w:sz w:val="24"/>
          <w:szCs w:val="24"/>
        </w:rPr>
        <w:t>. В работе [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Toks</w:t>
      </w:r>
      <w:r w:rsidRPr="00C516E5">
        <w:rPr>
          <w:rFonts w:ascii="Times New Roman" w:hAnsi="Times New Roman" w:cs="Times New Roman"/>
          <w:sz w:val="24"/>
          <w:szCs w:val="24"/>
        </w:rPr>
        <w:t>ö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516E5">
        <w:rPr>
          <w:rFonts w:ascii="Times New Roman" w:hAnsi="Times New Roman" w:cs="Times New Roman"/>
          <w:sz w:val="24"/>
          <w:szCs w:val="24"/>
        </w:rPr>
        <w:t xml:space="preserve">, 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Johnston</w:t>
      </w:r>
      <w:r w:rsidRPr="00C516E5">
        <w:rPr>
          <w:rFonts w:ascii="Times New Roman" w:hAnsi="Times New Roman" w:cs="Times New Roman"/>
          <w:sz w:val="24"/>
          <w:szCs w:val="24"/>
        </w:rPr>
        <w:t xml:space="preserve">, 1981] приводятся определения для каждого из указанных параметров, описывающих поглощение, а также их связь. Коэффициент поглощения </w:t>
      </w:r>
      <w:r w:rsidRPr="00C516E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1654A57B">
          <v:shape id="_x0000_i1028" type="#_x0000_t75" style="width:12.25pt;height:11.55pt" o:ole="">
            <v:imagedata r:id="rId5" o:title=""/>
          </v:shape>
          <o:OLEObject Type="Embed" ProgID="Equation.DSMT4" ShapeID="_x0000_i1028" DrawAspect="Content" ObjectID="_1724837541" r:id="rId11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определяется через добавление экспоненциального множителя, отвечающего за затухание проходящих плоских волн: </w:t>
      </w:r>
      <w:r w:rsidRPr="00C516E5">
        <w:rPr>
          <w:rFonts w:ascii="Times New Roman" w:hAnsi="Times New Roman" w:cs="Times New Roman"/>
          <w:position w:val="-12"/>
          <w:sz w:val="24"/>
          <w:szCs w:val="24"/>
        </w:rPr>
        <w:object w:dxaOrig="1359" w:dyaOrig="380" w14:anchorId="485D2810">
          <v:shape id="_x0000_i1029" type="#_x0000_t75" style="width:67.9pt;height:19pt" o:ole="">
            <v:imagedata r:id="rId12" o:title=""/>
          </v:shape>
          <o:OLEObject Type="Embed" ProgID="Equation.DSMT4" ShapeID="_x0000_i1029" DrawAspect="Content" ObjectID="_1724837542" r:id="rId13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. При рассмотрении проходящей волны в двух разных точках среды </w:t>
      </w:r>
      <w:r w:rsidRPr="00C516E5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38D6D97C">
          <v:shape id="_x0000_i1030" type="#_x0000_t75" style="width:12.25pt;height:19pt" o:ole="">
            <v:imagedata r:id="rId14" o:title=""/>
          </v:shape>
          <o:OLEObject Type="Embed" ProgID="Equation.DSMT4" ShapeID="_x0000_i1030" DrawAspect="Content" ObjectID="_1724837543" r:id="rId15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и </w:t>
      </w:r>
      <w:r w:rsidRPr="00C516E5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25624490">
          <v:shape id="_x0000_i1031" type="#_x0000_t75" style="width:12.25pt;height:19pt" o:ole="">
            <v:imagedata r:id="rId16" o:title=""/>
          </v:shape>
          <o:OLEObject Type="Embed" ProgID="Equation.DSMT4" ShapeID="_x0000_i1031" DrawAspect="Content" ObjectID="_1724837544" r:id="rId17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коэффициент поглощения </w:t>
      </w:r>
      <w:r w:rsidRPr="00C516E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45ED0BF9">
          <v:shape id="_x0000_i1032" type="#_x0000_t75" style="width:12.25pt;height:11.55pt" o:ole="">
            <v:imagedata r:id="rId5" o:title=""/>
          </v:shape>
          <o:OLEObject Type="Embed" ProgID="Equation.DSMT4" ShapeID="_x0000_i1032" DrawAspect="Content" ObjectID="_1724837545" r:id="rId18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определяется следующим образом:</w:t>
      </w:r>
    </w:p>
    <w:p w14:paraId="11A93E7E" w14:textId="77777777" w:rsidR="005017B9" w:rsidRPr="00C516E5" w:rsidRDefault="005017B9" w:rsidP="005017B9">
      <w:pPr>
        <w:pStyle w:val="MTDisplayEquation"/>
        <w:rPr>
          <w:rFonts w:ascii="Times New Roman" w:hAnsi="Times New Roman" w:cs="Times New Roman"/>
          <w:szCs w:val="24"/>
          <w:lang w:val="ru-RU"/>
        </w:rPr>
      </w:pPr>
      <w:r w:rsidRPr="00C516E5">
        <w:rPr>
          <w:rFonts w:ascii="Times New Roman" w:hAnsi="Times New Roman" w:cs="Times New Roman"/>
          <w:szCs w:val="24"/>
          <w:lang w:val="ru-RU"/>
        </w:rPr>
        <w:tab/>
      </w:r>
      <w:r w:rsidRPr="00C516E5">
        <w:rPr>
          <w:rFonts w:ascii="Times New Roman" w:hAnsi="Times New Roman" w:cs="Times New Roman"/>
          <w:position w:val="-32"/>
          <w:szCs w:val="24"/>
        </w:rPr>
        <w:object w:dxaOrig="2180" w:dyaOrig="760" w14:anchorId="31F12A1F">
          <v:shape id="_x0000_i1033" type="#_x0000_t75" style="width:108.7pt;height:38.05pt" o:ole="">
            <v:imagedata r:id="rId19" o:title=""/>
          </v:shape>
          <o:OLEObject Type="Embed" ProgID="Equation.DSMT4" ShapeID="_x0000_i1033" DrawAspect="Content" ObjectID="_1724837546" r:id="rId20"/>
        </w:object>
      </w:r>
      <w:r w:rsidRPr="00C516E5">
        <w:rPr>
          <w:rFonts w:ascii="Times New Roman" w:hAnsi="Times New Roman" w:cs="Times New Roman"/>
          <w:szCs w:val="24"/>
          <w:lang w:val="ru-RU"/>
        </w:rPr>
        <w:t></w:t>
      </w:r>
      <w:r w:rsidRPr="00C516E5">
        <w:rPr>
          <w:rFonts w:ascii="Times New Roman" w:hAnsi="Times New Roman" w:cs="Times New Roman"/>
          <w:szCs w:val="24"/>
          <w:lang w:val="ru-RU"/>
        </w:rPr>
        <w:tab/>
        <w:t>(1)</w:t>
      </w:r>
    </w:p>
    <w:p w14:paraId="24CF2BF6" w14:textId="77777777" w:rsidR="005017B9" w:rsidRPr="00C516E5" w:rsidRDefault="005017B9" w:rsidP="005017B9">
      <w:pPr>
        <w:pStyle w:val="a5"/>
        <w:rPr>
          <w:rFonts w:cs="Times New Roman"/>
          <w:szCs w:val="24"/>
        </w:rPr>
      </w:pPr>
      <w:r w:rsidRPr="00C516E5">
        <w:rPr>
          <w:rFonts w:cs="Times New Roman"/>
          <w:szCs w:val="24"/>
        </w:rPr>
        <w:t xml:space="preserve">Аналогично определяется логарифмический декремент поглощения </w:t>
      </w:r>
      <w:bookmarkStart w:id="3" w:name="OLE_LINK5"/>
      <w:bookmarkStart w:id="4" w:name="OLE_LINK6"/>
      <w:r w:rsidRPr="00C516E5">
        <w:rPr>
          <w:rFonts w:cs="Times New Roman"/>
          <w:position w:val="-6"/>
          <w:szCs w:val="24"/>
        </w:rPr>
        <w:object w:dxaOrig="220" w:dyaOrig="279" w14:anchorId="0BE9B8DD">
          <v:shape id="_x0000_i1034" type="#_x0000_t75" style="width:11.55pt;height:14.25pt" o:ole="">
            <v:imagedata r:id="rId7" o:title=""/>
          </v:shape>
          <o:OLEObject Type="Embed" ProgID="Equation.DSMT4" ShapeID="_x0000_i1034" DrawAspect="Content" ObjectID="_1724837547" r:id="rId21"/>
        </w:object>
      </w:r>
      <w:bookmarkEnd w:id="3"/>
      <w:bookmarkEnd w:id="4"/>
      <w:r w:rsidRPr="00C516E5">
        <w:rPr>
          <w:rFonts w:cs="Times New Roman"/>
          <w:szCs w:val="24"/>
        </w:rPr>
        <w:t>, только в этом случае рассматривается затухание на длине волны:</w:t>
      </w:r>
    </w:p>
    <w:p w14:paraId="3AD63B15" w14:textId="77777777" w:rsidR="005017B9" w:rsidRPr="00C516E5" w:rsidRDefault="005017B9" w:rsidP="005017B9">
      <w:pPr>
        <w:pStyle w:val="MTDisplayEquation"/>
        <w:rPr>
          <w:rFonts w:ascii="Times New Roman" w:hAnsi="Times New Roman" w:cs="Times New Roman"/>
          <w:szCs w:val="24"/>
          <w:lang w:val="ru-RU"/>
        </w:rPr>
      </w:pPr>
      <w:r w:rsidRPr="00C516E5">
        <w:rPr>
          <w:rFonts w:ascii="Times New Roman" w:hAnsi="Times New Roman" w:cs="Times New Roman"/>
          <w:szCs w:val="24"/>
          <w:lang w:val="ru-RU"/>
        </w:rPr>
        <w:tab/>
      </w:r>
      <w:r w:rsidRPr="00C516E5">
        <w:rPr>
          <w:rFonts w:ascii="Times New Roman" w:hAnsi="Times New Roman" w:cs="Times New Roman"/>
          <w:position w:val="-32"/>
          <w:szCs w:val="24"/>
        </w:rPr>
        <w:object w:dxaOrig="2799" w:dyaOrig="760" w14:anchorId="2065A258">
          <v:shape id="_x0000_i1035" type="#_x0000_t75" style="width:139.9pt;height:38.05pt" o:ole="">
            <v:imagedata r:id="rId22" o:title=""/>
          </v:shape>
          <o:OLEObject Type="Embed" ProgID="Equation.DSMT4" ShapeID="_x0000_i1035" DrawAspect="Content" ObjectID="_1724837548" r:id="rId23"/>
        </w:object>
      </w:r>
      <w:r w:rsidRPr="00C516E5">
        <w:rPr>
          <w:rFonts w:ascii="Times New Roman" w:hAnsi="Times New Roman" w:cs="Times New Roman"/>
          <w:szCs w:val="24"/>
        </w:rPr>
        <w:t></w:t>
      </w:r>
      <w:r w:rsidRPr="00C516E5">
        <w:rPr>
          <w:rFonts w:ascii="Times New Roman" w:hAnsi="Times New Roman" w:cs="Times New Roman"/>
          <w:szCs w:val="24"/>
          <w:lang w:val="ru-RU"/>
        </w:rPr>
        <w:tab/>
        <w:t>(2)</w:t>
      </w:r>
    </w:p>
    <w:p w14:paraId="47A56FBE" w14:textId="77777777" w:rsidR="005017B9" w:rsidRPr="00C516E5" w:rsidRDefault="005017B9" w:rsidP="005017B9">
      <w:pPr>
        <w:pStyle w:val="a5"/>
        <w:rPr>
          <w:rFonts w:cs="Times New Roman"/>
          <w:szCs w:val="24"/>
        </w:rPr>
      </w:pPr>
      <w:r w:rsidRPr="00C516E5">
        <w:rPr>
          <w:rFonts w:cs="Times New Roman"/>
          <w:szCs w:val="24"/>
        </w:rPr>
        <w:t xml:space="preserve">где </w:t>
      </w:r>
      <w:r w:rsidRPr="00C516E5">
        <w:rPr>
          <w:rFonts w:cs="Times New Roman"/>
          <w:position w:val="-6"/>
          <w:szCs w:val="24"/>
        </w:rPr>
        <w:object w:dxaOrig="220" w:dyaOrig="279" w14:anchorId="7611DC50">
          <v:shape id="_x0000_i1036" type="#_x0000_t75" style="width:11.55pt;height:14.25pt" o:ole="">
            <v:imagedata r:id="rId24" o:title=""/>
          </v:shape>
          <o:OLEObject Type="Embed" ProgID="Equation.DSMT4" ShapeID="_x0000_i1036" DrawAspect="Content" ObjectID="_1724837549" r:id="rId25"/>
        </w:object>
      </w:r>
      <w:r w:rsidRPr="00C516E5">
        <w:rPr>
          <w:rFonts w:cs="Times New Roman"/>
          <w:szCs w:val="24"/>
        </w:rPr>
        <w:t xml:space="preserve"> – длина волны, </w:t>
      </w:r>
      <w:r w:rsidRPr="00C516E5">
        <w:rPr>
          <w:rFonts w:cs="Times New Roman"/>
          <w:position w:val="-6"/>
          <w:szCs w:val="24"/>
        </w:rPr>
        <w:object w:dxaOrig="180" w:dyaOrig="220" w14:anchorId="263DDACE">
          <v:shape id="_x0000_i1037" type="#_x0000_t75" style="width:8.85pt;height:11.55pt" o:ole="">
            <v:imagedata r:id="rId26" o:title=""/>
          </v:shape>
          <o:OLEObject Type="Embed" ProgID="Equation.DSMT4" ShapeID="_x0000_i1037" DrawAspect="Content" ObjectID="_1724837550" r:id="rId27"/>
        </w:object>
      </w:r>
      <w:r w:rsidRPr="00C516E5">
        <w:rPr>
          <w:rFonts w:cs="Times New Roman"/>
          <w:szCs w:val="24"/>
        </w:rPr>
        <w:t xml:space="preserve"> – скорость, </w:t>
      </w:r>
      <w:r w:rsidRPr="00C516E5">
        <w:rPr>
          <w:rFonts w:cs="Times New Roman"/>
          <w:position w:val="-10"/>
          <w:szCs w:val="24"/>
        </w:rPr>
        <w:object w:dxaOrig="240" w:dyaOrig="320" w14:anchorId="2DFFE07C">
          <v:shape id="_x0000_i1038" type="#_x0000_t75" style="width:12.25pt;height:15.6pt" o:ole="">
            <v:imagedata r:id="rId28" o:title=""/>
          </v:shape>
          <o:OLEObject Type="Embed" ProgID="Equation.DSMT4" ShapeID="_x0000_i1038" DrawAspect="Content" ObjectID="_1724837551" r:id="rId29"/>
        </w:object>
      </w:r>
      <w:r w:rsidRPr="00C516E5">
        <w:rPr>
          <w:rFonts w:cs="Times New Roman"/>
          <w:szCs w:val="24"/>
        </w:rPr>
        <w:t xml:space="preserve"> – частота.</w:t>
      </w:r>
    </w:p>
    <w:p w14:paraId="30BCA111" w14:textId="77777777" w:rsidR="005017B9" w:rsidRPr="00C516E5" w:rsidRDefault="005017B9" w:rsidP="00501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6E5">
        <w:rPr>
          <w:rFonts w:ascii="Times New Roman" w:hAnsi="Times New Roman" w:cs="Times New Roman"/>
          <w:sz w:val="24"/>
          <w:szCs w:val="24"/>
        </w:rPr>
        <w:t xml:space="preserve">Обратная добротность </w:t>
      </w:r>
      <w:r w:rsidRPr="00C516E5">
        <w:rPr>
          <w:rFonts w:ascii="Times New Roman" w:hAnsi="Times New Roman" w:cs="Times New Roman"/>
          <w:position w:val="-10"/>
          <w:sz w:val="24"/>
          <w:szCs w:val="24"/>
        </w:rPr>
        <w:object w:dxaOrig="400" w:dyaOrig="360" w14:anchorId="4C53D21B">
          <v:shape id="_x0000_i1039" type="#_x0000_t75" style="width:20.4pt;height:19pt" o:ole="">
            <v:imagedata r:id="rId30" o:title=""/>
          </v:shape>
          <o:OLEObject Type="Embed" ProgID="Equation.DSMT4" ShapeID="_x0000_i1039" DrawAspect="Content" ObjectID="_1724837552" r:id="rId31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в отличие от коэффициента поглощения </w:t>
      </w:r>
      <w:bookmarkStart w:id="5" w:name="OLE_LINK3"/>
      <w:bookmarkStart w:id="6" w:name="OLE_LINK4"/>
      <w:bookmarkStart w:id="7" w:name="OLE_LINK7"/>
      <w:r w:rsidRPr="00C516E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46B04693">
          <v:shape id="_x0000_i1040" type="#_x0000_t75" style="width:12.25pt;height:11.55pt" o:ole="">
            <v:imagedata r:id="rId5" o:title=""/>
          </v:shape>
          <o:OLEObject Type="Embed" ProgID="Equation.DSMT4" ShapeID="_x0000_i1040" DrawAspect="Content" ObjectID="_1724837553" r:id="rId32"/>
        </w:object>
      </w:r>
      <w:bookmarkEnd w:id="5"/>
      <w:bookmarkEnd w:id="6"/>
      <w:bookmarkEnd w:id="7"/>
      <w:r w:rsidRPr="00C516E5">
        <w:rPr>
          <w:rFonts w:ascii="Times New Roman" w:hAnsi="Times New Roman" w:cs="Times New Roman"/>
          <w:sz w:val="24"/>
          <w:szCs w:val="24"/>
        </w:rPr>
        <w:t xml:space="preserve"> и логарифмического декремента </w:t>
      </w:r>
      <w:r w:rsidRPr="00C516E5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3905D66">
          <v:shape id="_x0000_i1041" type="#_x0000_t75" style="width:11.55pt;height:14.25pt" o:ole="">
            <v:imagedata r:id="rId7" o:title=""/>
          </v:shape>
          <o:OLEObject Type="Embed" ProgID="Equation.DSMT4" ShapeID="_x0000_i1041" DrawAspect="Content" ObjectID="_1724837554" r:id="rId33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определяется не через амплитуды проходящей волны, а через энергетический баланс при диссипации энергии [Сейсморазведка. Справочник геофизика, 1981]:</w:t>
      </w:r>
    </w:p>
    <w:p w14:paraId="4F7BE93C" w14:textId="77777777" w:rsidR="005017B9" w:rsidRPr="00C516E5" w:rsidRDefault="005017B9" w:rsidP="005017B9">
      <w:pPr>
        <w:pStyle w:val="MTDisplayEquation"/>
        <w:rPr>
          <w:rFonts w:ascii="Times New Roman" w:hAnsi="Times New Roman" w:cs="Times New Roman"/>
          <w:szCs w:val="24"/>
          <w:lang w:val="ru-RU"/>
        </w:rPr>
      </w:pPr>
      <w:r w:rsidRPr="00C516E5">
        <w:rPr>
          <w:rFonts w:ascii="Times New Roman" w:hAnsi="Times New Roman" w:cs="Times New Roman"/>
          <w:szCs w:val="24"/>
          <w:lang w:val="ru-RU"/>
        </w:rPr>
        <w:tab/>
      </w:r>
      <w:r w:rsidRPr="00C516E5">
        <w:rPr>
          <w:rFonts w:ascii="Times New Roman" w:hAnsi="Times New Roman" w:cs="Times New Roman"/>
          <w:position w:val="-30"/>
          <w:szCs w:val="24"/>
        </w:rPr>
        <w:object w:dxaOrig="1480" w:dyaOrig="680" w14:anchorId="045C16C2">
          <v:shape id="_x0000_i1042" type="#_x0000_t75" style="width:74.7pt;height:33.95pt" o:ole="">
            <v:imagedata r:id="rId34" o:title=""/>
          </v:shape>
          <o:OLEObject Type="Embed" ProgID="Equation.DSMT4" ShapeID="_x0000_i1042" DrawAspect="Content" ObjectID="_1724837555" r:id="rId35"/>
        </w:object>
      </w:r>
      <w:r w:rsidRPr="00C516E5">
        <w:rPr>
          <w:rFonts w:ascii="Times New Roman" w:hAnsi="Times New Roman" w:cs="Times New Roman"/>
          <w:szCs w:val="24"/>
          <w:lang w:val="ru-RU"/>
        </w:rPr>
        <w:t></w:t>
      </w:r>
      <w:r w:rsidRPr="00C516E5">
        <w:rPr>
          <w:rFonts w:ascii="Times New Roman" w:hAnsi="Times New Roman" w:cs="Times New Roman"/>
          <w:szCs w:val="24"/>
          <w:lang w:val="ru-RU"/>
        </w:rPr>
        <w:tab/>
        <w:t>(3)</w:t>
      </w:r>
    </w:p>
    <w:p w14:paraId="5FAF7764" w14:textId="77777777" w:rsidR="005017B9" w:rsidRPr="00C516E5" w:rsidRDefault="005017B9" w:rsidP="005017B9">
      <w:pPr>
        <w:pStyle w:val="a5"/>
        <w:rPr>
          <w:rFonts w:cs="Times New Roman"/>
          <w:szCs w:val="24"/>
        </w:rPr>
      </w:pPr>
      <w:r w:rsidRPr="00C516E5">
        <w:rPr>
          <w:rFonts w:cs="Times New Roman"/>
          <w:szCs w:val="24"/>
        </w:rPr>
        <w:t xml:space="preserve">где </w:t>
      </w:r>
      <w:r w:rsidRPr="00C516E5">
        <w:rPr>
          <w:rFonts w:cs="Times New Roman"/>
          <w:position w:val="-6"/>
          <w:szCs w:val="24"/>
        </w:rPr>
        <w:object w:dxaOrig="460" w:dyaOrig="279" w14:anchorId="5BE1B7F6">
          <v:shape id="_x0000_i1043" type="#_x0000_t75" style="width:23.1pt;height:14.25pt" o:ole="">
            <v:imagedata r:id="rId36" o:title=""/>
          </v:shape>
          <o:OLEObject Type="Embed" ProgID="Equation.DSMT4" ShapeID="_x0000_i1043" DrawAspect="Content" ObjectID="_1724837556" r:id="rId37"/>
        </w:object>
      </w:r>
      <w:r w:rsidRPr="00C516E5">
        <w:rPr>
          <w:rFonts w:cs="Times New Roman"/>
          <w:szCs w:val="24"/>
        </w:rPr>
        <w:t xml:space="preserve"> – плотность энергии, рассеянной в цикле колебания рассматриваемой системы, </w:t>
      </w:r>
      <w:r w:rsidRPr="00C516E5">
        <w:rPr>
          <w:rFonts w:cs="Times New Roman"/>
          <w:position w:val="-12"/>
          <w:szCs w:val="24"/>
        </w:rPr>
        <w:object w:dxaOrig="499" w:dyaOrig="360" w14:anchorId="7D5B4E00">
          <v:shape id="_x0000_i1044" type="#_x0000_t75" style="width:25.8pt;height:19pt" o:ole="">
            <v:imagedata r:id="rId38" o:title=""/>
          </v:shape>
          <o:OLEObject Type="Embed" ProgID="Equation.DSMT4" ShapeID="_x0000_i1044" DrawAspect="Content" ObjectID="_1724837557" r:id="rId39"/>
        </w:object>
      </w:r>
      <w:r w:rsidRPr="00C516E5">
        <w:rPr>
          <w:rFonts w:cs="Times New Roman"/>
          <w:szCs w:val="24"/>
        </w:rPr>
        <w:t> – максимальная энергия, запасенная в этом цикле. Связь обратной добротности с другими параметрами, описывающими поглощение, приводится в работе [</w:t>
      </w:r>
      <w:r w:rsidRPr="00C516E5">
        <w:rPr>
          <w:rFonts w:cs="Times New Roman"/>
          <w:szCs w:val="24"/>
          <w:lang w:val="en-US"/>
        </w:rPr>
        <w:t>Hamilton</w:t>
      </w:r>
      <w:r w:rsidRPr="00C516E5">
        <w:rPr>
          <w:rFonts w:cs="Times New Roman"/>
          <w:szCs w:val="24"/>
        </w:rPr>
        <w:t>, 1972]:</w:t>
      </w:r>
    </w:p>
    <w:p w14:paraId="698413F0" w14:textId="77777777" w:rsidR="005017B9" w:rsidRPr="00C516E5" w:rsidRDefault="005017B9" w:rsidP="005017B9">
      <w:pPr>
        <w:pStyle w:val="MTDisplayEquation"/>
        <w:rPr>
          <w:rFonts w:ascii="Times New Roman" w:hAnsi="Times New Roman" w:cs="Times New Roman"/>
          <w:szCs w:val="24"/>
          <w:lang w:val="ru-RU"/>
        </w:rPr>
      </w:pPr>
      <w:r w:rsidRPr="00C516E5">
        <w:rPr>
          <w:rFonts w:ascii="Times New Roman" w:hAnsi="Times New Roman" w:cs="Times New Roman"/>
          <w:szCs w:val="24"/>
          <w:lang w:val="ru-RU"/>
        </w:rPr>
        <w:tab/>
      </w:r>
      <w:r w:rsidRPr="00C516E5">
        <w:rPr>
          <w:rFonts w:ascii="Times New Roman" w:hAnsi="Times New Roman" w:cs="Times New Roman"/>
          <w:position w:val="-28"/>
          <w:szCs w:val="24"/>
        </w:rPr>
        <w:object w:dxaOrig="1140" w:dyaOrig="660" w14:anchorId="32CC5CF2">
          <v:shape id="_x0000_i1045" type="#_x0000_t75" style="width:57.05pt;height:33.3pt" o:ole="">
            <v:imagedata r:id="rId40" o:title=""/>
          </v:shape>
          <o:OLEObject Type="Embed" ProgID="Equation.DSMT4" ShapeID="_x0000_i1045" DrawAspect="Content" ObjectID="_1724837558" r:id="rId41"/>
        </w:object>
      </w:r>
      <w:r w:rsidRPr="00C516E5">
        <w:rPr>
          <w:rFonts w:ascii="Times New Roman" w:hAnsi="Times New Roman" w:cs="Times New Roman"/>
          <w:szCs w:val="24"/>
          <w:lang w:val="ru-RU"/>
        </w:rPr>
        <w:t></w:t>
      </w:r>
      <w:r w:rsidRPr="00C516E5">
        <w:rPr>
          <w:rFonts w:ascii="Times New Roman" w:hAnsi="Times New Roman" w:cs="Times New Roman"/>
          <w:szCs w:val="24"/>
          <w:lang w:val="ru-RU"/>
        </w:rPr>
        <w:tab/>
        <w:t>(4)</w:t>
      </w:r>
    </w:p>
    <w:p w14:paraId="0AFDCB83" w14:textId="77777777" w:rsidR="005017B9" w:rsidRPr="00C516E5" w:rsidRDefault="005017B9" w:rsidP="005017B9">
      <w:pPr>
        <w:pStyle w:val="a5"/>
        <w:rPr>
          <w:rFonts w:cs="Times New Roman"/>
          <w:szCs w:val="24"/>
        </w:rPr>
      </w:pPr>
      <w:r w:rsidRPr="00C516E5">
        <w:rPr>
          <w:rFonts w:cs="Times New Roman"/>
          <w:szCs w:val="24"/>
        </w:rPr>
        <w:lastRenderedPageBreak/>
        <w:t>но это соотношение верно только в случае небольшого поглощения.</w:t>
      </w:r>
    </w:p>
    <w:p w14:paraId="45751497" w14:textId="77777777" w:rsidR="005017B9" w:rsidRPr="00C516E5" w:rsidRDefault="005017B9" w:rsidP="00501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16E5">
        <w:rPr>
          <w:rFonts w:ascii="Times New Roman" w:hAnsi="Times New Roman" w:cs="Times New Roman"/>
          <w:sz w:val="24"/>
          <w:szCs w:val="24"/>
          <w:lang w:eastAsia="ru-RU"/>
        </w:rPr>
        <w:t>В литературе, в основном, оперируют значениями обратной добротности, поэтому в данном отчете также будет использоваться величина обратной добротности в качестве параметра, определяющего величину поглощения сейсмических волн. Для расчета значений обратной добротности существует целый ряд методов, которые можно разделить на действующие во временной области и действующие в частотной области. Методы, действующие во временной области, зачастую оказываются весьма чувствительны к помехам, поэтому при расчете поглощения чаще используются методы, действующие в частотной области. Среди них наиболее широко распространенным и часто используемым в литературе является метод спектральных отношений. Также этот метод хорошо проявил себя в работе [</w:t>
      </w:r>
      <w:proofErr w:type="spellStart"/>
      <w:r w:rsidRPr="00C516E5">
        <w:rPr>
          <w:rFonts w:ascii="Times New Roman" w:hAnsi="Times New Roman" w:cs="Times New Roman"/>
          <w:sz w:val="24"/>
          <w:szCs w:val="24"/>
          <w:lang w:val="en-US" w:eastAsia="ru-RU"/>
        </w:rPr>
        <w:t>Tonn</w:t>
      </w:r>
      <w:proofErr w:type="spellEnd"/>
      <w:r w:rsidRPr="00C516E5">
        <w:rPr>
          <w:rFonts w:ascii="Times New Roman" w:hAnsi="Times New Roman" w:cs="Times New Roman"/>
          <w:sz w:val="24"/>
          <w:szCs w:val="24"/>
          <w:lang w:eastAsia="ru-RU"/>
        </w:rPr>
        <w:t>, 1991], в которой было проведено численное сравнение десяти методов расчета величины обратной добротности на синтетических сейсмограммах вертикального сейсмического профилирования при наличии и в отсутствии шума.</w:t>
      </w:r>
    </w:p>
    <w:p w14:paraId="37A3C0F1" w14:textId="77777777" w:rsidR="005017B9" w:rsidRPr="00C516E5" w:rsidRDefault="005017B9" w:rsidP="005017B9">
      <w:pPr>
        <w:pStyle w:val="2"/>
        <w:jc w:val="center"/>
        <w:rPr>
          <w:rFonts w:cs="Times New Roman"/>
          <w:szCs w:val="24"/>
          <w:lang w:eastAsia="ru-RU"/>
        </w:rPr>
      </w:pPr>
      <w:bookmarkStart w:id="8" w:name="_Toc32838317"/>
      <w:bookmarkStart w:id="9" w:name="_Toc113620505"/>
      <w:r w:rsidRPr="00C516E5">
        <w:rPr>
          <w:rFonts w:cs="Times New Roman"/>
          <w:szCs w:val="24"/>
          <w:lang w:eastAsia="ru-RU"/>
        </w:rPr>
        <w:t>Метод спектральных отношений</w:t>
      </w:r>
      <w:bookmarkEnd w:id="8"/>
      <w:bookmarkEnd w:id="9"/>
    </w:p>
    <w:p w14:paraId="202DC075" w14:textId="77777777" w:rsidR="005017B9" w:rsidRPr="00C516E5" w:rsidRDefault="005017B9" w:rsidP="00501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6E5">
        <w:rPr>
          <w:rFonts w:ascii="Times New Roman" w:hAnsi="Times New Roman" w:cs="Times New Roman"/>
          <w:sz w:val="24"/>
          <w:szCs w:val="24"/>
        </w:rPr>
        <w:t xml:space="preserve">Метод спектральных отношений предполагает линейную зависимость коэффициента поглощения </w:t>
      </w:r>
      <w:r w:rsidRPr="00C516E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65168EFF">
          <v:shape id="_x0000_i1046" type="#_x0000_t75" style="width:12.25pt;height:11.55pt" o:ole="">
            <v:imagedata r:id="rId5" o:title=""/>
          </v:shape>
          <o:OLEObject Type="Embed" ProgID="Equation.DSMT4" ShapeID="_x0000_i1046" DrawAspect="Content" ObjectID="_1724837559" r:id="rId42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от частоты: </w:t>
      </w:r>
      <w:r w:rsidRPr="00C516E5">
        <w:rPr>
          <w:rFonts w:ascii="Times New Roman" w:hAnsi="Times New Roman" w:cs="Times New Roman"/>
          <w:position w:val="-10"/>
          <w:sz w:val="24"/>
          <w:szCs w:val="24"/>
        </w:rPr>
        <w:object w:dxaOrig="780" w:dyaOrig="320" w14:anchorId="2D78B9BC">
          <v:shape id="_x0000_i1047" type="#_x0000_t75" style="width:38.7pt;height:15.6pt" o:ole="">
            <v:imagedata r:id="rId43" o:title=""/>
          </v:shape>
          <o:OLEObject Type="Embed" ProgID="Equation.DSMT4" ShapeID="_x0000_i1047" DrawAspect="Content" ObjectID="_1724837560" r:id="rId44"/>
        </w:object>
      </w:r>
      <w:r w:rsidRPr="00C516E5">
        <w:rPr>
          <w:rFonts w:ascii="Times New Roman" w:hAnsi="Times New Roman" w:cs="Times New Roman"/>
          <w:sz w:val="24"/>
          <w:szCs w:val="24"/>
        </w:rPr>
        <w:t>, что подтверждается экспериментальными данными [</w:t>
      </w:r>
      <w:proofErr w:type="spellStart"/>
      <w:r w:rsidRPr="00C516E5">
        <w:rPr>
          <w:rFonts w:ascii="Times New Roman" w:hAnsi="Times New Roman" w:cs="Times New Roman"/>
          <w:sz w:val="24"/>
          <w:szCs w:val="24"/>
          <w:lang w:val="en-US"/>
        </w:rPr>
        <w:t>Knopoff</w:t>
      </w:r>
      <w:proofErr w:type="spellEnd"/>
      <w:r w:rsidRPr="00C516E5">
        <w:rPr>
          <w:rFonts w:ascii="Times New Roman" w:hAnsi="Times New Roman" w:cs="Times New Roman"/>
          <w:sz w:val="24"/>
          <w:szCs w:val="24"/>
        </w:rPr>
        <w:t xml:space="preserve">, 1964; 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Jackson</w:t>
      </w:r>
      <w:r w:rsidRPr="00C516E5">
        <w:rPr>
          <w:rFonts w:ascii="Times New Roman" w:hAnsi="Times New Roman" w:cs="Times New Roman"/>
          <w:sz w:val="24"/>
          <w:szCs w:val="24"/>
        </w:rPr>
        <w:t xml:space="preserve">, 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Anderson</w:t>
      </w:r>
      <w:r w:rsidRPr="00C516E5">
        <w:rPr>
          <w:rFonts w:ascii="Times New Roman" w:hAnsi="Times New Roman" w:cs="Times New Roman"/>
          <w:sz w:val="24"/>
          <w:szCs w:val="24"/>
        </w:rPr>
        <w:t xml:space="preserve">, 1970; 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Toks</w:t>
      </w:r>
      <w:r w:rsidRPr="00C516E5">
        <w:rPr>
          <w:rFonts w:ascii="Times New Roman" w:hAnsi="Times New Roman" w:cs="Times New Roman"/>
          <w:sz w:val="24"/>
          <w:szCs w:val="24"/>
        </w:rPr>
        <w:t>ö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516E5">
        <w:rPr>
          <w:rFonts w:ascii="Times New Roman" w:hAnsi="Times New Roman" w:cs="Times New Roman"/>
          <w:sz w:val="24"/>
          <w:szCs w:val="24"/>
        </w:rPr>
        <w:t xml:space="preserve"> 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C516E5">
        <w:rPr>
          <w:rFonts w:ascii="Times New Roman" w:hAnsi="Times New Roman" w:cs="Times New Roman"/>
          <w:sz w:val="24"/>
          <w:szCs w:val="24"/>
        </w:rPr>
        <w:t xml:space="preserve"> 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C516E5">
        <w:rPr>
          <w:rFonts w:ascii="Times New Roman" w:hAnsi="Times New Roman" w:cs="Times New Roman"/>
          <w:sz w:val="24"/>
          <w:szCs w:val="24"/>
        </w:rPr>
        <w:t xml:space="preserve">., 1979]. В этом случае обратная добротность </w:t>
      </w:r>
      <w:r w:rsidRPr="00C516E5">
        <w:rPr>
          <w:rFonts w:ascii="Times New Roman" w:hAnsi="Times New Roman" w:cs="Times New Roman"/>
          <w:position w:val="-10"/>
          <w:sz w:val="24"/>
          <w:szCs w:val="24"/>
        </w:rPr>
        <w:object w:dxaOrig="400" w:dyaOrig="360" w14:anchorId="0B7A26C2">
          <v:shape id="_x0000_i1048" type="#_x0000_t75" style="width:20.4pt;height:19pt" o:ole="">
            <v:imagedata r:id="rId45" o:title=""/>
          </v:shape>
          <o:OLEObject Type="Embed" ProgID="Equation.DSMT4" ShapeID="_x0000_i1048" DrawAspect="Content" ObjectID="_1724837561" r:id="rId46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оказывается частотно независимой величиной, а коэффициент </w:t>
      </w:r>
      <w:r w:rsidRPr="00C516E5">
        <w:rPr>
          <w:rFonts w:ascii="Times New Roman" w:hAnsi="Times New Roman" w:cs="Times New Roman"/>
          <w:position w:val="-10"/>
          <w:sz w:val="24"/>
          <w:szCs w:val="24"/>
        </w:rPr>
        <w:object w:dxaOrig="200" w:dyaOrig="260" w14:anchorId="682DA290">
          <v:shape id="_x0000_i1049" type="#_x0000_t75" style="width:11.55pt;height:12.25pt" o:ole="">
            <v:imagedata r:id="rId47" o:title=""/>
          </v:shape>
          <o:OLEObject Type="Embed" ProgID="Equation.DSMT4" ShapeID="_x0000_i1049" DrawAspect="Content" ObjectID="_1724837562" r:id="rId48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из соотношения </w:t>
      </w:r>
      <w:r w:rsidRPr="00C516E5">
        <w:rPr>
          <w:rFonts w:ascii="Times New Roman" w:hAnsi="Times New Roman" w:cs="Times New Roman"/>
          <w:sz w:val="24"/>
          <w:szCs w:val="24"/>
        </w:rPr>
        <w:fldChar w:fldCharType="begin"/>
      </w:r>
      <w:r w:rsidRPr="00C516E5">
        <w:rPr>
          <w:rFonts w:ascii="Times New Roman" w:hAnsi="Times New Roman" w:cs="Times New Roman"/>
          <w:sz w:val="24"/>
          <w:szCs w:val="24"/>
        </w:rPr>
        <w:instrText xml:space="preserve"> GOTOBUTTON ZEqnNum932993  \* MERGEFORMAT </w:instrText>
      </w:r>
      <w:r w:rsidRPr="00C516E5">
        <w:rPr>
          <w:rFonts w:ascii="Times New Roman" w:hAnsi="Times New Roman" w:cs="Times New Roman"/>
          <w:sz w:val="24"/>
          <w:szCs w:val="24"/>
        </w:rPr>
        <w:fldChar w:fldCharType="begin"/>
      </w:r>
      <w:r w:rsidRPr="00C516E5">
        <w:rPr>
          <w:rFonts w:ascii="Times New Roman" w:hAnsi="Times New Roman" w:cs="Times New Roman"/>
          <w:sz w:val="24"/>
          <w:szCs w:val="24"/>
        </w:rPr>
        <w:instrText xml:space="preserve"> REF ZEqnNum932993 \* Charformat \! \* MERGEFORMAT </w:instrText>
      </w:r>
      <w:r w:rsidRPr="00C516E5">
        <w:rPr>
          <w:rFonts w:ascii="Times New Roman" w:hAnsi="Times New Roman" w:cs="Times New Roman"/>
          <w:sz w:val="24"/>
          <w:szCs w:val="24"/>
        </w:rPr>
        <w:fldChar w:fldCharType="separate"/>
      </w:r>
      <w:r w:rsidRPr="00C516E5">
        <w:rPr>
          <w:rFonts w:ascii="Times New Roman" w:hAnsi="Times New Roman" w:cs="Times New Roman"/>
          <w:sz w:val="24"/>
          <w:szCs w:val="24"/>
        </w:rPr>
        <w:instrText>(10)</w:instrText>
      </w:r>
      <w:r w:rsidRPr="00C516E5">
        <w:rPr>
          <w:rFonts w:ascii="Times New Roman" w:hAnsi="Times New Roman" w:cs="Times New Roman"/>
          <w:sz w:val="24"/>
          <w:szCs w:val="24"/>
        </w:rPr>
        <w:fldChar w:fldCharType="end"/>
      </w:r>
      <w:r w:rsidRPr="00C516E5">
        <w:rPr>
          <w:rFonts w:ascii="Times New Roman" w:hAnsi="Times New Roman" w:cs="Times New Roman"/>
          <w:sz w:val="24"/>
          <w:szCs w:val="24"/>
        </w:rPr>
        <w:fldChar w:fldCharType="end"/>
      </w:r>
      <w:r w:rsidRPr="00C516E5">
        <w:rPr>
          <w:rFonts w:ascii="Times New Roman" w:hAnsi="Times New Roman" w:cs="Times New Roman"/>
          <w:sz w:val="24"/>
          <w:szCs w:val="24"/>
        </w:rPr>
        <w:t xml:space="preserve"> равен </w:t>
      </w:r>
      <w:r w:rsidRPr="00C516E5">
        <w:rPr>
          <w:rFonts w:ascii="Times New Roman" w:hAnsi="Times New Roman" w:cs="Times New Roman"/>
          <w:position w:val="-10"/>
          <w:sz w:val="24"/>
          <w:szCs w:val="24"/>
        </w:rPr>
        <w:object w:dxaOrig="840" w:dyaOrig="360" w14:anchorId="39C25018">
          <v:shape id="_x0000_i1050" type="#_x0000_t75" style="width:42.8pt;height:19pt" o:ole="">
            <v:imagedata r:id="rId49" o:title=""/>
          </v:shape>
          <o:OLEObject Type="Embed" ProgID="Equation.DSMT4" ShapeID="_x0000_i1050" DrawAspect="Content" ObjectID="_1724837563" r:id="rId50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C516E5">
        <w:rPr>
          <w:rFonts w:ascii="Times New Roman" w:hAnsi="Times New Roman" w:cs="Times New Roman"/>
          <w:i/>
          <w:sz w:val="24"/>
          <w:szCs w:val="24"/>
        </w:rPr>
        <w:t>V</w:t>
      </w:r>
      <w:r w:rsidRPr="00C516E5">
        <w:rPr>
          <w:rFonts w:ascii="Times New Roman" w:hAnsi="Times New Roman" w:cs="Times New Roman"/>
          <w:sz w:val="24"/>
          <w:szCs w:val="24"/>
        </w:rPr>
        <w:t xml:space="preserve"> – скорость волны.</w:t>
      </w:r>
    </w:p>
    <w:p w14:paraId="163D195B" w14:textId="77777777" w:rsidR="005017B9" w:rsidRPr="00C516E5" w:rsidRDefault="005017B9" w:rsidP="00501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6E5">
        <w:rPr>
          <w:rFonts w:ascii="Times New Roman" w:hAnsi="Times New Roman" w:cs="Times New Roman"/>
          <w:sz w:val="24"/>
          <w:szCs w:val="24"/>
        </w:rPr>
        <w:t xml:space="preserve">Имея амплитуды сигнала проходящей волны в двух точках рассматриваемой среды </w:t>
      </w:r>
      <w:r w:rsidRPr="00C516E5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6E878421">
          <v:shape id="_x0000_i1051" type="#_x0000_t75" style="width:12.25pt;height:19pt" o:ole="">
            <v:imagedata r:id="rId51" o:title=""/>
          </v:shape>
          <o:OLEObject Type="Embed" ProgID="Equation.DSMT4" ShapeID="_x0000_i1051" DrawAspect="Content" ObjectID="_1724837564" r:id="rId52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и </w:t>
      </w:r>
      <w:r w:rsidRPr="00C516E5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5FE4D6E7">
          <v:shape id="_x0000_i1052" type="#_x0000_t75" style="width:12.25pt;height:19pt" o:ole="">
            <v:imagedata r:id="rId53" o:title=""/>
          </v:shape>
          <o:OLEObject Type="Embed" ProgID="Equation.DSMT4" ShapeID="_x0000_i1052" DrawAspect="Content" ObjectID="_1724837565" r:id="rId54"/>
        </w:object>
      </w:r>
      <w:r w:rsidRPr="00C51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6E5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C516E5">
        <w:rPr>
          <w:rFonts w:ascii="Times New Roman" w:hAnsi="Times New Roman" w:cs="Times New Roman"/>
          <w:sz w:val="24"/>
          <w:szCs w:val="24"/>
        </w:rPr>
        <w:t xml:space="preserve"> взяв отношение их амплитудных спектров получим</w:t>
      </w:r>
    </w:p>
    <w:p w14:paraId="41026B29" w14:textId="77777777" w:rsidR="005017B9" w:rsidRPr="00C516E5" w:rsidRDefault="005017B9" w:rsidP="005017B9">
      <w:pPr>
        <w:pStyle w:val="MTDisplayEquation"/>
        <w:rPr>
          <w:rFonts w:ascii="Times New Roman" w:hAnsi="Times New Roman" w:cs="Times New Roman"/>
          <w:szCs w:val="24"/>
          <w:lang w:val="ru-RU"/>
        </w:rPr>
      </w:pPr>
      <w:r w:rsidRPr="00C516E5">
        <w:rPr>
          <w:rFonts w:ascii="Times New Roman" w:hAnsi="Times New Roman" w:cs="Times New Roman"/>
          <w:szCs w:val="24"/>
          <w:lang w:val="ru-RU"/>
        </w:rPr>
        <w:tab/>
      </w:r>
      <w:r w:rsidRPr="00C516E5">
        <w:rPr>
          <w:rFonts w:ascii="Times New Roman" w:hAnsi="Times New Roman" w:cs="Times New Roman"/>
          <w:position w:val="-30"/>
          <w:szCs w:val="24"/>
        </w:rPr>
        <w:object w:dxaOrig="1800" w:dyaOrig="680" w14:anchorId="691551EE">
          <v:shape id="_x0000_i1053" type="#_x0000_t75" style="width:91pt;height:33.95pt" o:ole="">
            <v:imagedata r:id="rId55" o:title=""/>
          </v:shape>
          <o:OLEObject Type="Embed" ProgID="Equation.DSMT4" ShapeID="_x0000_i1053" DrawAspect="Content" ObjectID="_1724837566" r:id="rId56"/>
        </w:object>
      </w:r>
      <w:r w:rsidRPr="00C516E5">
        <w:rPr>
          <w:rFonts w:ascii="Times New Roman" w:hAnsi="Times New Roman" w:cs="Times New Roman"/>
          <w:szCs w:val="24"/>
        </w:rPr>
        <w:t></w:t>
      </w:r>
      <w:r w:rsidRPr="00C516E5">
        <w:rPr>
          <w:rFonts w:ascii="Times New Roman" w:hAnsi="Times New Roman" w:cs="Times New Roman"/>
          <w:szCs w:val="24"/>
          <w:lang w:val="ru-RU"/>
        </w:rPr>
        <w:tab/>
        <w:t>(5)</w:t>
      </w:r>
    </w:p>
    <w:p w14:paraId="14D5D917" w14:textId="77777777" w:rsidR="005017B9" w:rsidRPr="00C516E5" w:rsidRDefault="005017B9" w:rsidP="005017B9">
      <w:pPr>
        <w:pStyle w:val="a5"/>
        <w:rPr>
          <w:rFonts w:cs="Times New Roman"/>
          <w:szCs w:val="24"/>
        </w:rPr>
      </w:pPr>
      <w:r w:rsidRPr="00C516E5">
        <w:rPr>
          <w:rFonts w:cs="Times New Roman"/>
          <w:szCs w:val="24"/>
        </w:rPr>
        <w:t xml:space="preserve">где </w:t>
      </w:r>
      <w:r w:rsidRPr="00C516E5">
        <w:rPr>
          <w:rFonts w:cs="Times New Roman"/>
          <w:position w:val="-12"/>
          <w:szCs w:val="24"/>
        </w:rPr>
        <w:object w:dxaOrig="279" w:dyaOrig="360" w14:anchorId="71F4F485">
          <v:shape id="_x0000_i1054" type="#_x0000_t75" style="width:14.25pt;height:19pt" o:ole="">
            <v:imagedata r:id="rId57" o:title=""/>
          </v:shape>
          <o:OLEObject Type="Embed" ProgID="Equation.DSMT4" ShapeID="_x0000_i1054" DrawAspect="Content" ObjectID="_1724837567" r:id="rId58"/>
        </w:object>
      </w:r>
      <w:r w:rsidRPr="00C516E5">
        <w:rPr>
          <w:rFonts w:cs="Times New Roman"/>
          <w:szCs w:val="24"/>
        </w:rPr>
        <w:t xml:space="preserve"> и </w:t>
      </w:r>
      <w:r w:rsidRPr="00C516E5">
        <w:rPr>
          <w:rFonts w:cs="Times New Roman"/>
          <w:position w:val="-12"/>
          <w:szCs w:val="24"/>
        </w:rPr>
        <w:object w:dxaOrig="300" w:dyaOrig="360" w14:anchorId="5D558315">
          <v:shape id="_x0000_i1055" type="#_x0000_t75" style="width:14.95pt;height:19pt" o:ole="">
            <v:imagedata r:id="rId59" o:title=""/>
          </v:shape>
          <o:OLEObject Type="Embed" ProgID="Equation.DSMT4" ShapeID="_x0000_i1055" DrawAspect="Content" ObjectID="_1724837568" r:id="rId60"/>
        </w:object>
      </w:r>
      <w:r w:rsidRPr="00C516E5">
        <w:rPr>
          <w:rFonts w:cs="Times New Roman"/>
          <w:szCs w:val="24"/>
        </w:rPr>
        <w:t xml:space="preserve"> включают в себя геометрические факторы: расхождение фронта, отражение волны и т.п. Перейдя к логарифму:</w:t>
      </w:r>
    </w:p>
    <w:p w14:paraId="6AF60EFC" w14:textId="77777777" w:rsidR="005017B9" w:rsidRPr="00C516E5" w:rsidRDefault="005017B9" w:rsidP="005017B9">
      <w:pPr>
        <w:pStyle w:val="MTDisplayEquation"/>
        <w:rPr>
          <w:rFonts w:ascii="Times New Roman" w:hAnsi="Times New Roman" w:cs="Times New Roman"/>
          <w:szCs w:val="24"/>
          <w:lang w:val="ru-RU"/>
        </w:rPr>
      </w:pPr>
      <w:r w:rsidRPr="00C516E5">
        <w:rPr>
          <w:rFonts w:ascii="Times New Roman" w:hAnsi="Times New Roman" w:cs="Times New Roman"/>
          <w:szCs w:val="24"/>
          <w:lang w:val="ru-RU"/>
        </w:rPr>
        <w:tab/>
      </w:r>
      <w:r w:rsidRPr="00C516E5">
        <w:rPr>
          <w:rFonts w:ascii="Times New Roman" w:hAnsi="Times New Roman" w:cs="Times New Roman"/>
          <w:position w:val="-32"/>
          <w:szCs w:val="24"/>
        </w:rPr>
        <w:object w:dxaOrig="3340" w:dyaOrig="760" w14:anchorId="3492A4B5">
          <v:shape id="_x0000_i1056" type="#_x0000_t75" style="width:166.4pt;height:38.05pt" o:ole="">
            <v:imagedata r:id="rId61" o:title=""/>
          </v:shape>
          <o:OLEObject Type="Embed" ProgID="Equation.DSMT4" ShapeID="_x0000_i1056" DrawAspect="Content" ObjectID="_1724837569" r:id="rId62"/>
        </w:object>
      </w:r>
      <w:r w:rsidRPr="00C516E5">
        <w:rPr>
          <w:rFonts w:ascii="Times New Roman" w:hAnsi="Times New Roman" w:cs="Times New Roman"/>
          <w:szCs w:val="24"/>
        </w:rPr>
        <w:t></w:t>
      </w:r>
      <w:r w:rsidRPr="00C516E5">
        <w:rPr>
          <w:rFonts w:ascii="Times New Roman" w:hAnsi="Times New Roman" w:cs="Times New Roman"/>
          <w:szCs w:val="24"/>
          <w:lang w:val="ru-RU"/>
        </w:rPr>
        <w:tab/>
        <w:t>(6)</w:t>
      </w:r>
    </w:p>
    <w:p w14:paraId="7CA9CC42" w14:textId="77777777" w:rsidR="005017B9" w:rsidRPr="00C516E5" w:rsidRDefault="005017B9" w:rsidP="005017B9">
      <w:pPr>
        <w:pStyle w:val="a5"/>
        <w:rPr>
          <w:rFonts w:cs="Times New Roman"/>
          <w:szCs w:val="24"/>
        </w:rPr>
      </w:pPr>
      <w:r w:rsidRPr="00C516E5">
        <w:rPr>
          <w:rFonts w:cs="Times New Roman"/>
          <w:szCs w:val="24"/>
        </w:rPr>
        <w:t>получаем, что при линейной аппроксимации отношения амплитудных спектров</w:t>
      </w:r>
    </w:p>
    <w:p w14:paraId="190E03C7" w14:textId="77777777" w:rsidR="005017B9" w:rsidRPr="00C516E5" w:rsidRDefault="005017B9" w:rsidP="005017B9">
      <w:pPr>
        <w:pStyle w:val="MTDisplayEquation"/>
        <w:rPr>
          <w:rFonts w:ascii="Times New Roman" w:hAnsi="Times New Roman" w:cs="Times New Roman"/>
          <w:szCs w:val="24"/>
          <w:lang w:val="ru-RU"/>
        </w:rPr>
      </w:pPr>
      <w:r w:rsidRPr="00C516E5">
        <w:rPr>
          <w:rFonts w:ascii="Times New Roman" w:hAnsi="Times New Roman" w:cs="Times New Roman"/>
          <w:szCs w:val="24"/>
          <w:lang w:val="ru-RU"/>
        </w:rPr>
        <w:lastRenderedPageBreak/>
        <w:tab/>
      </w:r>
      <w:r w:rsidRPr="00C516E5">
        <w:rPr>
          <w:rFonts w:ascii="Times New Roman" w:hAnsi="Times New Roman" w:cs="Times New Roman"/>
          <w:position w:val="-32"/>
          <w:szCs w:val="24"/>
        </w:rPr>
        <w:object w:dxaOrig="1800" w:dyaOrig="760" w14:anchorId="78C572B1">
          <v:shape id="_x0000_i1057" type="#_x0000_t75" style="width:91pt;height:38.05pt" o:ole="">
            <v:imagedata r:id="rId63" o:title=""/>
          </v:shape>
          <o:OLEObject Type="Embed" ProgID="Equation.DSMT4" ShapeID="_x0000_i1057" DrawAspect="Content" ObjectID="_1724837570" r:id="rId64"/>
        </w:object>
      </w:r>
      <w:r w:rsidRPr="00C516E5">
        <w:rPr>
          <w:rFonts w:ascii="Times New Roman" w:hAnsi="Times New Roman" w:cs="Times New Roman"/>
          <w:szCs w:val="24"/>
        </w:rPr>
        <w:t></w:t>
      </w:r>
      <w:r w:rsidRPr="00C516E5">
        <w:rPr>
          <w:rFonts w:ascii="Times New Roman" w:hAnsi="Times New Roman" w:cs="Times New Roman"/>
          <w:szCs w:val="24"/>
          <w:lang w:val="ru-RU"/>
        </w:rPr>
        <w:tab/>
        <w:t>(7)</w:t>
      </w:r>
    </w:p>
    <w:p w14:paraId="49B3B040" w14:textId="77777777" w:rsidR="005017B9" w:rsidRPr="00C516E5" w:rsidRDefault="005017B9" w:rsidP="005017B9">
      <w:pPr>
        <w:pStyle w:val="a5"/>
        <w:rPr>
          <w:rFonts w:cs="Times New Roman"/>
          <w:szCs w:val="24"/>
          <w:vertAlign w:val="subscript"/>
        </w:rPr>
      </w:pPr>
      <w:r w:rsidRPr="00C516E5">
        <w:rPr>
          <w:rFonts w:cs="Times New Roman"/>
          <w:szCs w:val="24"/>
        </w:rPr>
        <w:t xml:space="preserve">угол наклона </w:t>
      </w:r>
      <w:bookmarkStart w:id="10" w:name="OLE_LINK10"/>
      <w:bookmarkStart w:id="11" w:name="OLE_LINK11"/>
      <w:r w:rsidRPr="00C516E5">
        <w:rPr>
          <w:rFonts w:cs="Times New Roman"/>
          <w:position w:val="-6"/>
          <w:szCs w:val="24"/>
        </w:rPr>
        <w:object w:dxaOrig="200" w:dyaOrig="279" w14:anchorId="49CDE051">
          <v:shape id="_x0000_i1058" type="#_x0000_t75" style="width:10.2pt;height:14.25pt" o:ole="">
            <v:imagedata r:id="rId65" o:title=""/>
          </v:shape>
          <o:OLEObject Type="Embed" ProgID="Equation.DSMT4" ShapeID="_x0000_i1058" DrawAspect="Content" ObjectID="_1724837571" r:id="rId66"/>
        </w:object>
      </w:r>
      <w:bookmarkEnd w:id="10"/>
      <w:bookmarkEnd w:id="11"/>
      <w:r w:rsidRPr="00C516E5">
        <w:rPr>
          <w:rFonts w:cs="Times New Roman"/>
          <w:position w:val="-6"/>
          <w:szCs w:val="24"/>
        </w:rPr>
        <w:t xml:space="preserve"> </w:t>
      </w:r>
      <w:r w:rsidRPr="00C516E5">
        <w:rPr>
          <w:rFonts w:cs="Times New Roman"/>
          <w:szCs w:val="24"/>
        </w:rPr>
        <w:t xml:space="preserve">этой аппроксимации будет определять значение обратной добрости, а геометрические факторы на искомое значение не влияют. Нас интересует поглощение сигнала </w:t>
      </w:r>
      <w:r w:rsidRPr="00C516E5">
        <w:rPr>
          <w:rFonts w:cs="Times New Roman"/>
          <w:i/>
          <w:szCs w:val="24"/>
          <w:lang w:val="en-US"/>
        </w:rPr>
        <w:t>A</w:t>
      </w:r>
      <w:r w:rsidRPr="00C516E5">
        <w:rPr>
          <w:rFonts w:cs="Times New Roman"/>
          <w:szCs w:val="24"/>
          <w:vertAlign w:val="subscript"/>
        </w:rPr>
        <w:t>2</w:t>
      </w:r>
      <w:r w:rsidRPr="00C516E5">
        <w:rPr>
          <w:rFonts w:cs="Times New Roman"/>
          <w:szCs w:val="24"/>
        </w:rPr>
        <w:t xml:space="preserve"> относительно исходного сигнала </w:t>
      </w:r>
      <w:r w:rsidRPr="00C516E5">
        <w:rPr>
          <w:rFonts w:cs="Times New Roman"/>
          <w:i/>
          <w:szCs w:val="24"/>
          <w:lang w:val="en-US"/>
        </w:rPr>
        <w:t>A</w:t>
      </w:r>
      <w:r w:rsidRPr="00C516E5">
        <w:rPr>
          <w:rFonts w:cs="Times New Roman"/>
          <w:szCs w:val="24"/>
          <w:vertAlign w:val="subscript"/>
        </w:rPr>
        <w:t>1</w:t>
      </w:r>
      <w:r w:rsidRPr="00C516E5">
        <w:rPr>
          <w:rFonts w:cs="Times New Roman"/>
          <w:szCs w:val="24"/>
        </w:rPr>
        <w:t xml:space="preserve">, поэтому мы можем предположить, что </w:t>
      </w:r>
      <w:r w:rsidRPr="00C516E5">
        <w:rPr>
          <w:rFonts w:cs="Times New Roman"/>
          <w:position w:val="-12"/>
          <w:szCs w:val="24"/>
        </w:rPr>
        <w:object w:dxaOrig="620" w:dyaOrig="360" w14:anchorId="7A23728B">
          <v:shape id="_x0000_i1059" type="#_x0000_t75" style="width:30.55pt;height:19pt" o:ole="">
            <v:imagedata r:id="rId67" o:title=""/>
          </v:shape>
          <o:OLEObject Type="Embed" ProgID="Equation.DSMT4" ShapeID="_x0000_i1059" DrawAspect="Content" ObjectID="_1724837572" r:id="rId68"/>
        </w:object>
      </w:r>
      <w:r w:rsidRPr="00C516E5">
        <w:rPr>
          <w:rFonts w:cs="Times New Roman"/>
          <w:szCs w:val="24"/>
        </w:rPr>
        <w:t>. Таким образом</w:t>
      </w:r>
    </w:p>
    <w:p w14:paraId="0D7D619E" w14:textId="77777777" w:rsidR="005017B9" w:rsidRPr="00C516E5" w:rsidRDefault="005017B9" w:rsidP="005017B9">
      <w:pPr>
        <w:pStyle w:val="MTDisplayEquation"/>
        <w:rPr>
          <w:rFonts w:ascii="Times New Roman" w:hAnsi="Times New Roman" w:cs="Times New Roman"/>
          <w:szCs w:val="24"/>
          <w:lang w:val="ru-RU"/>
        </w:rPr>
      </w:pPr>
      <w:r w:rsidRPr="00C516E5">
        <w:rPr>
          <w:rFonts w:ascii="Times New Roman" w:hAnsi="Times New Roman" w:cs="Times New Roman"/>
          <w:szCs w:val="24"/>
          <w:lang w:val="ru-RU"/>
        </w:rPr>
        <w:tab/>
      </w:r>
      <w:r w:rsidRPr="00C516E5">
        <w:rPr>
          <w:rFonts w:ascii="Times New Roman" w:hAnsi="Times New Roman" w:cs="Times New Roman"/>
          <w:position w:val="-24"/>
          <w:szCs w:val="24"/>
        </w:rPr>
        <w:object w:dxaOrig="4280" w:dyaOrig="660" w14:anchorId="3CEE26A6">
          <v:shape id="_x0000_i1060" type="#_x0000_t75" style="width:214.65pt;height:33.3pt" o:ole="">
            <v:imagedata r:id="rId69" o:title=""/>
          </v:shape>
          <o:OLEObject Type="Embed" ProgID="Equation.DSMT4" ShapeID="_x0000_i1060" DrawAspect="Content" ObjectID="_1724837573" r:id="rId70"/>
        </w:object>
      </w:r>
      <w:r w:rsidRPr="00C516E5">
        <w:rPr>
          <w:rFonts w:ascii="Times New Roman" w:hAnsi="Times New Roman" w:cs="Times New Roman"/>
          <w:szCs w:val="24"/>
          <w:lang w:val="ru-RU"/>
        </w:rPr>
        <w:t></w:t>
      </w:r>
      <w:r w:rsidRPr="00C516E5">
        <w:rPr>
          <w:rFonts w:ascii="Times New Roman" w:hAnsi="Times New Roman" w:cs="Times New Roman"/>
          <w:szCs w:val="24"/>
          <w:lang w:val="ru-RU"/>
        </w:rPr>
        <w:tab/>
        <w:t>(8)</w:t>
      </w:r>
    </w:p>
    <w:p w14:paraId="1E16A020" w14:textId="77777777" w:rsidR="005017B9" w:rsidRPr="00C516E5" w:rsidRDefault="005017B9" w:rsidP="00501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16E5">
        <w:rPr>
          <w:rFonts w:ascii="Times New Roman" w:hAnsi="Times New Roman" w:cs="Times New Roman"/>
          <w:sz w:val="24"/>
          <w:szCs w:val="24"/>
        </w:rPr>
        <w:t xml:space="preserve">где </w:t>
      </w:r>
      <w:r w:rsidRPr="00C516E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C516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516E5">
        <w:rPr>
          <w:rFonts w:ascii="Times New Roman" w:hAnsi="Times New Roman" w:cs="Times New Roman"/>
          <w:sz w:val="24"/>
          <w:szCs w:val="24"/>
        </w:rPr>
        <w:t xml:space="preserve"> – двойное время пробега до кровли анализируемого слоя, </w:t>
      </w:r>
      <w:r w:rsidRPr="00C516E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C516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516E5">
        <w:rPr>
          <w:rFonts w:ascii="Times New Roman" w:hAnsi="Times New Roman" w:cs="Times New Roman"/>
          <w:sz w:val="24"/>
          <w:szCs w:val="24"/>
        </w:rPr>
        <w:t xml:space="preserve"> – двойное время пробега до подошвы анализируемого слоя, см.</w: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516E5">
        <w:rPr>
          <w:rFonts w:ascii="Times New Roman" w:hAnsi="Times New Roman" w:cs="Times New Roman"/>
          <w:sz w:val="24"/>
          <w:szCs w:val="24"/>
        </w:rPr>
        <w:fldChar w:fldCharType="begin"/>
      </w:r>
      <w:r w:rsidRPr="00C516E5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C516E5">
        <w:rPr>
          <w:rFonts w:ascii="Times New Roman" w:hAnsi="Times New Roman" w:cs="Times New Roman"/>
          <w:sz w:val="24"/>
          <w:szCs w:val="24"/>
        </w:rPr>
        <w:instrText xml:space="preserve"> _</w:instrTex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C516E5">
        <w:rPr>
          <w:rFonts w:ascii="Times New Roman" w:hAnsi="Times New Roman" w:cs="Times New Roman"/>
          <w:sz w:val="24"/>
          <w:szCs w:val="24"/>
        </w:rPr>
        <w:instrText>113306311 \</w:instrText>
      </w:r>
      <w:r w:rsidRPr="00C516E5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Pr="00C516E5"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C516E5">
        <w:rPr>
          <w:rFonts w:ascii="Times New Roman" w:hAnsi="Times New Roman" w:cs="Times New Roman"/>
          <w:sz w:val="24"/>
          <w:szCs w:val="24"/>
        </w:rPr>
      </w:r>
      <w:r w:rsidRPr="00C516E5">
        <w:rPr>
          <w:rFonts w:ascii="Times New Roman" w:hAnsi="Times New Roman" w:cs="Times New Roman"/>
          <w:sz w:val="24"/>
          <w:szCs w:val="24"/>
        </w:rPr>
        <w:fldChar w:fldCharType="separate"/>
      </w:r>
      <w:r w:rsidRPr="00C516E5">
        <w:rPr>
          <w:rFonts w:ascii="Times New Roman" w:hAnsi="Times New Roman" w:cs="Times New Roman"/>
        </w:rPr>
        <w:t xml:space="preserve">Рисунок </w:t>
      </w:r>
      <w:r w:rsidRPr="00C516E5">
        <w:rPr>
          <w:rFonts w:ascii="Times New Roman" w:hAnsi="Times New Roman" w:cs="Times New Roman"/>
          <w:noProof/>
        </w:rPr>
        <w:t>1</w:t>
      </w:r>
      <w:r w:rsidRPr="00C516E5">
        <w:rPr>
          <w:rFonts w:ascii="Times New Roman" w:hAnsi="Times New Roman" w:cs="Times New Roman"/>
          <w:sz w:val="24"/>
          <w:szCs w:val="24"/>
        </w:rPr>
        <w:fldChar w:fldCharType="end"/>
      </w:r>
      <w:r w:rsidRPr="00C516E5">
        <w:rPr>
          <w:rFonts w:ascii="Times New Roman" w:hAnsi="Times New Roman" w:cs="Times New Roman"/>
          <w:sz w:val="24"/>
          <w:szCs w:val="24"/>
        </w:rPr>
        <w:t>. В итоге величина обратной добротности анализируемого слоя рассчитывается как</w:t>
      </w:r>
    </w:p>
    <w:p w14:paraId="6509A82A" w14:textId="77777777" w:rsidR="005017B9" w:rsidRPr="00C516E5" w:rsidRDefault="005017B9" w:rsidP="005017B9">
      <w:pPr>
        <w:pStyle w:val="MTDisplayEquation"/>
        <w:rPr>
          <w:rFonts w:ascii="Times New Roman" w:hAnsi="Times New Roman" w:cs="Times New Roman"/>
          <w:szCs w:val="24"/>
          <w:lang w:val="ru-RU"/>
        </w:rPr>
      </w:pPr>
      <w:r w:rsidRPr="00C516E5">
        <w:rPr>
          <w:rFonts w:ascii="Times New Roman" w:hAnsi="Times New Roman" w:cs="Times New Roman"/>
          <w:szCs w:val="24"/>
          <w:lang w:val="ru-RU"/>
        </w:rPr>
        <w:tab/>
      </w:r>
      <w:r w:rsidRPr="00C516E5">
        <w:rPr>
          <w:rFonts w:ascii="Times New Roman" w:hAnsi="Times New Roman" w:cs="Times New Roman"/>
          <w:position w:val="-30"/>
          <w:szCs w:val="24"/>
        </w:rPr>
        <w:object w:dxaOrig="1680" w:dyaOrig="680" w14:anchorId="174D745E">
          <v:shape id="_x0000_i1061" type="#_x0000_t75" style="width:84.25pt;height:33.95pt" o:ole="">
            <v:imagedata r:id="rId71" o:title=""/>
          </v:shape>
          <o:OLEObject Type="Embed" ProgID="Equation.DSMT4" ShapeID="_x0000_i1061" DrawAspect="Content" ObjectID="_1724837574" r:id="rId72"/>
        </w:object>
      </w:r>
      <w:r w:rsidRPr="00C516E5">
        <w:rPr>
          <w:rFonts w:ascii="Times New Roman" w:hAnsi="Times New Roman" w:cs="Times New Roman"/>
          <w:szCs w:val="24"/>
          <w:lang w:val="ru-RU"/>
        </w:rPr>
        <w:t></w:t>
      </w:r>
      <w:r w:rsidRPr="00C516E5">
        <w:rPr>
          <w:rFonts w:ascii="Times New Roman" w:hAnsi="Times New Roman" w:cs="Times New Roman"/>
          <w:szCs w:val="24"/>
          <w:lang w:val="ru-RU"/>
        </w:rPr>
        <w:tab/>
        <w:t>(9)</w:t>
      </w:r>
    </w:p>
    <w:p w14:paraId="3E854A78" w14:textId="77777777" w:rsidR="005017B9" w:rsidRPr="00C516E5" w:rsidRDefault="005017B9" w:rsidP="00501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86B710" w14:textId="77777777" w:rsidR="005017B9" w:rsidRPr="00C516E5" w:rsidRDefault="005017B9" w:rsidP="005017B9">
      <w:pPr>
        <w:keepNext/>
        <w:spacing w:line="360" w:lineRule="auto"/>
        <w:jc w:val="both"/>
        <w:rPr>
          <w:rFonts w:ascii="Times New Roman" w:hAnsi="Times New Roman" w:cs="Times New Roman"/>
        </w:rPr>
      </w:pPr>
      <w:r w:rsidRPr="00C516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787492" wp14:editId="6E1CF7C0">
            <wp:extent cx="3026640" cy="1800028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00" cy="181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8FA5" w14:textId="77777777" w:rsidR="005017B9" w:rsidRPr="00C516E5" w:rsidRDefault="005017B9" w:rsidP="005017B9">
      <w:pPr>
        <w:pStyle w:val="a3"/>
        <w:rPr>
          <w:rFonts w:cs="Times New Roman"/>
          <w:szCs w:val="24"/>
        </w:rPr>
      </w:pPr>
      <w:bookmarkStart w:id="12" w:name="_Ref113306311"/>
      <w:r w:rsidRPr="00C516E5">
        <w:rPr>
          <w:rFonts w:cs="Times New Roman"/>
        </w:rPr>
        <w:t xml:space="preserve">Рисунок </w:t>
      </w:r>
      <w:r w:rsidRPr="00C516E5">
        <w:rPr>
          <w:rFonts w:cs="Times New Roman"/>
        </w:rPr>
        <w:fldChar w:fldCharType="begin"/>
      </w:r>
      <w:r w:rsidRPr="00C516E5">
        <w:rPr>
          <w:rFonts w:cs="Times New Roman"/>
        </w:rPr>
        <w:instrText xml:space="preserve"> SEQ Рисунок \* ARABIC </w:instrText>
      </w:r>
      <w:r w:rsidRPr="00C516E5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C516E5">
        <w:rPr>
          <w:rFonts w:cs="Times New Roman"/>
        </w:rPr>
        <w:fldChar w:fldCharType="end"/>
      </w:r>
      <w:bookmarkEnd w:id="12"/>
      <w:r w:rsidRPr="00C516E5">
        <w:rPr>
          <w:rFonts w:cs="Times New Roman"/>
        </w:rPr>
        <w:t xml:space="preserve"> 1Лучевая схема отражения ОГТ (а), сигналы от кровли и от подошвы анализируемого слоя с временами прихода (б) и амплитудные спектры сигналов (в)</w:t>
      </w:r>
    </w:p>
    <w:p w14:paraId="5A011CA6" w14:textId="77777777" w:rsidR="00C11E8F" w:rsidRPr="005017B9" w:rsidRDefault="005017B9" w:rsidP="005017B9">
      <w:bookmarkStart w:id="13" w:name="_GoBack"/>
      <w:bookmarkEnd w:id="13"/>
    </w:p>
    <w:sectPr w:rsidR="00C11E8F" w:rsidRPr="0050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610C"/>
    <w:multiLevelType w:val="multilevel"/>
    <w:tmpl w:val="E6D2C3B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  <w:szCs w:val="28"/>
      </w:rPr>
    </w:lvl>
    <w:lvl w:ilvl="2">
      <w:start w:val="1"/>
      <w:numFmt w:val="decimal"/>
      <w:pStyle w:val="3"/>
      <w:lvlText w:val="%1.%2.%3"/>
      <w:lvlJc w:val="left"/>
      <w:pPr>
        <w:ind w:left="726" w:hanging="726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73" w:hanging="873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40"/>
    <w:rsid w:val="005017B9"/>
    <w:rsid w:val="00941F85"/>
    <w:rsid w:val="00AE2C19"/>
    <w:rsid w:val="00B47440"/>
    <w:rsid w:val="00F9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F1660-42F2-4C8A-BADB-1755735C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7B9"/>
  </w:style>
  <w:style w:type="paragraph" w:styleId="1">
    <w:name w:val="heading 1"/>
    <w:aliases w:val="1 Глава"/>
    <w:basedOn w:val="a"/>
    <w:next w:val="a"/>
    <w:link w:val="10"/>
    <w:uiPriority w:val="9"/>
    <w:qFormat/>
    <w:rsid w:val="005017B9"/>
    <w:pPr>
      <w:keepNext/>
      <w:keepLines/>
      <w:numPr>
        <w:numId w:val="1"/>
      </w:numPr>
      <w:spacing w:before="120" w:after="12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aliases w:val="2.2 Раздел"/>
    <w:basedOn w:val="a"/>
    <w:next w:val="a"/>
    <w:link w:val="20"/>
    <w:uiPriority w:val="9"/>
    <w:unhideWhenUsed/>
    <w:qFormat/>
    <w:rsid w:val="005017B9"/>
    <w:pPr>
      <w:keepNext/>
      <w:keepLines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aliases w:val="3.3.3 Раздел"/>
    <w:basedOn w:val="a"/>
    <w:next w:val="a"/>
    <w:link w:val="30"/>
    <w:uiPriority w:val="9"/>
    <w:unhideWhenUsed/>
    <w:qFormat/>
    <w:rsid w:val="005017B9"/>
    <w:pPr>
      <w:keepNext/>
      <w:keepLines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aliases w:val="4.4.4.4 Раздел"/>
    <w:basedOn w:val="a"/>
    <w:next w:val="a"/>
    <w:link w:val="40"/>
    <w:uiPriority w:val="9"/>
    <w:unhideWhenUsed/>
    <w:qFormat/>
    <w:rsid w:val="005017B9"/>
    <w:pPr>
      <w:keepNext/>
      <w:keepLines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Times New Roman" w:eastAsiaTheme="majorEastAsia" w:hAnsi="Times New Roman" w:cstheme="majorBidi"/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Глава Знак"/>
    <w:basedOn w:val="a0"/>
    <w:link w:val="1"/>
    <w:uiPriority w:val="9"/>
    <w:rsid w:val="005017B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aliases w:val="2.2 Раздел Знак"/>
    <w:basedOn w:val="a0"/>
    <w:link w:val="2"/>
    <w:uiPriority w:val="9"/>
    <w:rsid w:val="005017B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5017B9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5017B9"/>
    <w:rPr>
      <w:rFonts w:ascii="Times New Roman" w:eastAsiaTheme="majorEastAsia" w:hAnsi="Times New Roman" w:cstheme="majorBidi"/>
      <w:bCs/>
      <w:iCs/>
      <w:sz w:val="24"/>
    </w:rPr>
  </w:style>
  <w:style w:type="paragraph" w:styleId="a3">
    <w:name w:val="caption"/>
    <w:aliases w:val="Рис. и Табл."/>
    <w:basedOn w:val="a"/>
    <w:next w:val="a"/>
    <w:link w:val="a4"/>
    <w:uiPriority w:val="35"/>
    <w:unhideWhenUsed/>
    <w:qFormat/>
    <w:rsid w:val="005017B9"/>
    <w:pPr>
      <w:keepNext/>
      <w:spacing w:before="120" w:after="120" w:line="360" w:lineRule="auto"/>
      <w:jc w:val="both"/>
    </w:pPr>
    <w:rPr>
      <w:rFonts w:ascii="Times New Roman" w:eastAsiaTheme="minorEastAsia" w:hAnsi="Times New Roman"/>
      <w:bCs/>
      <w:sz w:val="24"/>
      <w:szCs w:val="18"/>
    </w:rPr>
  </w:style>
  <w:style w:type="character" w:customStyle="1" w:styleId="a4">
    <w:name w:val="Название объекта Знак"/>
    <w:aliases w:val="Рис. и Табл. Знак"/>
    <w:basedOn w:val="a0"/>
    <w:link w:val="a3"/>
    <w:uiPriority w:val="35"/>
    <w:rsid w:val="005017B9"/>
    <w:rPr>
      <w:rFonts w:ascii="Times New Roman" w:eastAsiaTheme="minorEastAsia" w:hAnsi="Times New Roman"/>
      <w:bCs/>
      <w:sz w:val="24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017B9"/>
    <w:pPr>
      <w:tabs>
        <w:tab w:val="center" w:pos="4820"/>
        <w:tab w:val="right" w:pos="9640"/>
      </w:tabs>
      <w:spacing w:after="0" w:line="360" w:lineRule="auto"/>
      <w:ind w:firstLine="708"/>
      <w:jc w:val="both"/>
    </w:pPr>
    <w:rPr>
      <w:rFonts w:ascii="Symbol" w:eastAsiaTheme="minorEastAsia" w:hAnsi="Symbol"/>
      <w:sz w:val="24"/>
      <w:lang w:val="en-US"/>
    </w:rPr>
  </w:style>
  <w:style w:type="character" w:customStyle="1" w:styleId="MTDisplayEquation0">
    <w:name w:val="MTDisplayEquation Знак"/>
    <w:basedOn w:val="a0"/>
    <w:link w:val="MTDisplayEquation"/>
    <w:rsid w:val="005017B9"/>
    <w:rPr>
      <w:rFonts w:ascii="Symbol" w:eastAsiaTheme="minorEastAsia" w:hAnsi="Symbol"/>
      <w:sz w:val="24"/>
      <w:lang w:val="en-US"/>
    </w:rPr>
  </w:style>
  <w:style w:type="paragraph" w:customStyle="1" w:styleId="a5">
    <w:name w:val="Без отступа"/>
    <w:basedOn w:val="a"/>
    <w:next w:val="a"/>
    <w:link w:val="a6"/>
    <w:autoRedefine/>
    <w:qFormat/>
    <w:rsid w:val="005017B9"/>
    <w:pPr>
      <w:tabs>
        <w:tab w:val="left" w:pos="2819"/>
      </w:tabs>
      <w:spacing w:after="0" w:line="360" w:lineRule="auto"/>
      <w:jc w:val="both"/>
    </w:pPr>
    <w:rPr>
      <w:rFonts w:ascii="Times New Roman" w:eastAsiaTheme="minorEastAsia" w:hAnsi="Times New Roman"/>
      <w:noProof/>
      <w:sz w:val="24"/>
      <w:lang w:eastAsia="ru-RU"/>
    </w:rPr>
  </w:style>
  <w:style w:type="character" w:customStyle="1" w:styleId="a6">
    <w:name w:val="Без отступа Знак"/>
    <w:basedOn w:val="a0"/>
    <w:link w:val="a5"/>
    <w:rsid w:val="005017B9"/>
    <w:rPr>
      <w:rFonts w:ascii="Times New Roman" w:eastAsiaTheme="minorEastAsia" w:hAnsi="Times New Roman"/>
      <w:noProof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" Type="http://schemas.openxmlformats.org/officeDocument/2006/relationships/image" Target="media/image2.wmf"/><Relationship Id="rId71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2022-09-16T05:45:00Z</dcterms:created>
  <dcterms:modified xsi:type="dcterms:W3CDTF">2022-09-16T05:45:00Z</dcterms:modified>
</cp:coreProperties>
</file>