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860A" w:sz="8" w:space="8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A1A1F"/>
          <w:sz w:val="34"/>
          <w:szCs w:val="34"/>
        </w:rPr>
        <w:t xml:space="preserve">Clasificación de Razas de Perros con Deep Learning</w:t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Justificación de Arquitectura y Decisiones de Preprocesamiento</w:t>
      </w:r>
    </w:p>
    <w:p>
      <w:pPr>
        <w:spacing w:before="40" w:after="2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UNAB  ·  Bases de Datos II  ·  Prof. Ph.D. Andrés Felipe Jerez Ariza  ·  2025</w:t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1A1F"/>
          <w:sz w:val="34"/>
          <w:szCs w:val="34"/>
        </w:rPr>
        <w:t xml:space="preserve">1. Arquitectura Seleccionada: MobileNetV2 + Transfer Learning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Se optó por MobileNetV2 preentrenado en ImageNet como backbone, con una cabeza densa personalizada para las 120 razas del Stanford Dogs Dataset. Esta decisión se fundamenta en cuatro razones técnicas: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Eficiencia computacional: MobileNetV2 utiliza bloques Inverted Residuals con Linear Bottlenecks, logrando ~3.4 M de parámetros entrenables con una accuracy comparable a modelos más pesados como VGG16 (138 M). Esto permite entrenar en hardware commodity sin GPU de gama alta.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Pertinencia del dominio: ImageNet contiene miles de imágenes de perros; el backbone ya aprendió texturas relevantes (pelaje, orejas, hocico) que son exactamente los rasgos discriminativos entre razas.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Tamaño del dataset: Stanford Dogs tiene ~20 000 imágenes. Entrenar una CNN desde cero requeriría 10× más datos; Transfer Learning mitiga este problema reutilizando representaciones aprendidas.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Fine-tuning controlado: El entrenamiento en dos fases (congelar backbone → descongelar capas superiores con LR=1e-5) evita destruir los pesos preentrenados y converge en menos de 25 épocas totales.</w:t>
      </w:r>
    </w:p>
    <w:p>
      <w:pPr>
        <w:pBdr>
          <w:bottom w:val="single" w:color="E0D8CC" w:sz="4" w:space="1"/>
        </w:pBdr>
        <w:spacing w:before="120" w:after="12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 Detalle de la Arquitectura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224 × 224 × 3 px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Tamaño estándar MobileNetV2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MobileNetV2 Backbone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Pesos ImageNet, congelado (Fase 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Transfer Learning desde dominio rico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GlobalAvgPooling2D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Reduce mapas a vector 1280-d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Evita sobreajuste vs Flatten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Dense(512) + BN + Dropout(0.4)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Capa densa con regularización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Reduce riesgo de overfitting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Dense(256) + Dropout(0.3)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Segunda capa de representación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Compresión gradual del espacio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Dense(120, softmax)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Capa de salida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120 razas Stanford Dogs</w:t>
            </w:r>
          </w:p>
        </w:tc>
      </w:tr>
    </w:tbl>
    <w:p>
      <w:pPr>
        <w:spacing w:before="140" w:after="60"/>
      </w:pP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 uso de BatchNormalization estabiliza el entrenamiento; Dropout(0.4/0.3) actúa como regularizador fuerte dado el alto número de clases.</w:t>
      </w:r>
    </w:p>
    <w:p>
      <w:pPr>
        <w:pBdr>
          <w:bottom w:val="single" w:color="E0D8CC" w:sz="4" w:space="1"/>
        </w:pBdr>
        <w:spacing w:before="120" w:after="120"/>
      </w:pP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1A1F"/>
          <w:sz w:val="34"/>
          <w:szCs w:val="34"/>
        </w:rPr>
        <w:t xml:space="preserve">3. Decisiones de Preprocesamiento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El pipeline de datos aplica las siguientes transformaciones, diferenciadas entre fase de entrenamiento (con augmentación) y validación (sin augmentación):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00"/>
        <w:gridCol w:w="25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Técnica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Normalización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÷ 255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Rango [0,1] para convergencia rápida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Rotación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±20°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Invarianza a orientación del perro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Flip horizontal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50% prob.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Simetría bilateral del animal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Zoom / Shift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20% / 15%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Robusto a encuadre de la foto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Ajuste de brillo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[0.8 – 1.2]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Variaciones de iluminación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Redimensionado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224 × 224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Requerido por MobileNetV2</w:t>
            </w:r>
          </w:p>
        </w:tc>
      </w:tr>
    </w:tbl>
    <w:p>
      <w:pPr>
        <w:spacing w:before="140" w:after="60"/>
      </w:pP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 split 80% / 20% (train / validación) se realizó directamente desde el generador de Keras usando validation_split, garantizando la no contaminación entre conjuntos.</w:t>
      </w:r>
    </w:p>
    <w:p>
      <w:pPr>
        <w:pBdr>
          <w:bottom w:val="single" w:color="E0D8CC" w:sz="4" w:space="1"/>
        </w:pBdr>
        <w:spacing w:before="120" w:after="12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 Justificación de Hiperparámetros Clave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Optimizador Adam con LR=1e-4 (cabeza) / 1e-5 (fine-tuning): Adam adapta la tasa de aprendizaje por parámetro; LR más bajo en fine-tuning protege los pesos preentrenados.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Batch size = 32: Balance entre velocidad de entrenamiento y estabilidad del gradiente en el dataset disponible.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Early Stopping (patience=5) + ReduceLROnPlateau: Previene sobreajuste y ajusta automáticamente el LR cuando el modelo estanca.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Fine-tune desde capa 100: Las primeras capas del backbone aprenden características genéricas (bordes, colores); descongelar sólo las superiores (~55 capas) adapta las representaciones de alto nivel al dominio canino.</w:t>
      </w:r>
    </w:p>
    <w:p>
      <w:pPr>
        <w:pBdr>
          <w:bottom w:val="single" w:color="E0D8CC" w:sz="4" w:space="1"/>
        </w:pBdr>
        <w:spacing w:before="120" w:after="12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Proyecto desarrollado con TensorFlow 2.x · Streamlit · Python 3.10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A1A1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1A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2026-03-26T00:40:30.612Z</dcterms:created>
  <dcterms:modified xsi:type="dcterms:W3CDTF">2026-03-26T00:40:30.613Z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