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417C1" w14:textId="2F9EC3DB" w:rsidR="00194280" w:rsidRPr="00974ABA" w:rsidRDefault="00DB7A73" w:rsidP="00DB7A73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DB7A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Блок 1</w:t>
      </w:r>
      <w:r w:rsid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 w:rsid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DAU</w:t>
      </w:r>
      <w:r w:rsidR="001737F4" w:rsidRP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/</w:t>
      </w:r>
      <w:r w:rsid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MAU</w:t>
      </w:r>
      <w:r w:rsidR="001737F4" w:rsidRP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 w:rsid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и частота сессий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DB7A73" w14:paraId="020522DA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9B6048" w14:textId="77777777" w:rsidR="00DB7A73" w:rsidRDefault="00DB7A73" w:rsidP="009E5B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Метрика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C97516" w14:textId="77777777" w:rsidR="00DB7A73" w:rsidRDefault="00DB7A73" w:rsidP="009E5B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Формула / определение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D9D990B" w14:textId="77777777" w:rsidR="00DB7A73" w:rsidRDefault="00DB7A73" w:rsidP="009E5B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Бенчмарк / цель</w:t>
            </w:r>
          </w:p>
        </w:tc>
      </w:tr>
      <w:tr w:rsidR="00DB7A73" w14:paraId="428C35DC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16AF3C" w14:textId="77777777" w:rsidR="00DB7A73" w:rsidRDefault="00DB7A73" w:rsidP="009E5B7B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DAU/MAU Ratio(Stickiness)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E73278" w14:textId="77777777" w:rsidR="001737F4" w:rsidRDefault="00DB7A73" w:rsidP="009E5B7B">
            <w:pPr>
              <w:rPr>
                <w:rFonts w:ascii="Arial" w:eastAsia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DAU ÷ MAU × 100%</w:t>
            </w:r>
          </w:p>
          <w:p w14:paraId="6AB7B074" w14:textId="77777777" w:rsidR="001737F4" w:rsidRDefault="00DB7A73" w:rsidP="009E5B7B">
            <w:pPr>
              <w:rPr>
                <w:rFonts w:ascii="Arial" w:eastAsia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DAU = уникальных пользователей в день</w:t>
            </w:r>
          </w:p>
          <w:p w14:paraId="734D4073" w14:textId="678815C2" w:rsidR="00DB7A73" w:rsidRDefault="00DB7A73" w:rsidP="009E5B7B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MAU = уникальных за месяц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1A1062" w14:textId="77777777" w:rsidR="003A61E8" w:rsidRDefault="00DB7A73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Сейчас у банков в РФ: ~20–30%</w:t>
            </w:r>
          </w:p>
          <w:p w14:paraId="75AE80B2" w14:textId="1735CD84" w:rsidR="00DB7A73" w:rsidRDefault="00DB7A73" w:rsidP="009E5B7B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 xml:space="preserve">Цель после внедрения: </w:t>
            </w:r>
            <w:r w:rsidR="001C1F1A" w:rsidRPr="001C1F1A">
              <w:rPr>
                <w:rFonts w:ascii="Arial" w:eastAsia="Arial" w:hAnsi="Arial" w:cs="Arial"/>
                <w:color w:val="375623"/>
                <w:sz w:val="21"/>
                <w:szCs w:val="21"/>
              </w:rPr>
              <w:t>35</w:t>
            </w:r>
            <w:r w:rsidR="001C1F1A">
              <w:rPr>
                <w:rFonts w:ascii="Arial" w:eastAsia="Arial" w:hAnsi="Arial" w:cs="Arial"/>
                <w:color w:val="375623"/>
                <w:sz w:val="21"/>
                <w:szCs w:val="21"/>
              </w:rPr>
              <w:softHyphen/>
              <w:t>–</w:t>
            </w: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4</w:t>
            </w:r>
            <w:r w:rsidR="001C1F1A" w:rsidRPr="001C1F1A">
              <w:rPr>
                <w:rFonts w:ascii="Arial" w:eastAsia="Arial" w:hAnsi="Arial" w:cs="Arial"/>
                <w:color w:val="375623"/>
                <w:sz w:val="21"/>
                <w:szCs w:val="21"/>
              </w:rPr>
              <w:t>6</w:t>
            </w: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%</w:t>
            </w:r>
            <w:r w:rsidR="001737F4">
              <w:rPr>
                <w:rFonts w:ascii="Arial" w:eastAsia="Arial" w:hAnsi="Arial" w:cs="Arial"/>
                <w:color w:val="375623"/>
                <w:sz w:val="21"/>
                <w:szCs w:val="21"/>
              </w:rPr>
              <w:t xml:space="preserve"> </w:t>
            </w:r>
          </w:p>
        </w:tc>
      </w:tr>
      <w:tr w:rsidR="00DB7A73" w14:paraId="5443866C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FB02E1" w14:textId="77777777" w:rsidR="00DB7A73" w:rsidRDefault="00DB7A73" w:rsidP="009E5B7B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Среднее число экранов/сессия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11B710" w14:textId="77777777" w:rsidR="001737F4" w:rsidRDefault="00DB7A73" w:rsidP="009E5B7B">
            <w:pPr>
              <w:rPr>
                <w:rFonts w:ascii="Arial" w:eastAsia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Сумма экранов за все сессии ÷ число сессий</w:t>
            </w:r>
          </w:p>
          <w:p w14:paraId="13AA2FEF" w14:textId="743324A5" w:rsidR="00DB7A73" w:rsidRDefault="00DB7A73" w:rsidP="009E5B7B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Показывает глубину погружения в приложение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95647D" w14:textId="77777777" w:rsidR="001737F4" w:rsidRDefault="00DB7A73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Baseline: ~3 экрана</w:t>
            </w:r>
          </w:p>
          <w:p w14:paraId="678F0156" w14:textId="77777777" w:rsidR="001737F4" w:rsidRDefault="00DB7A73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Цель: ~5–6 экранов</w:t>
            </w:r>
          </w:p>
          <w:p w14:paraId="02FD8E2A" w14:textId="4F3CB8EB" w:rsidR="00DB7A73" w:rsidRDefault="00DB7A73" w:rsidP="009E5B7B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Рост за счёт тематических блоков, которые «тянут» пользователя вглубь</w:t>
            </w:r>
          </w:p>
        </w:tc>
      </w:tr>
      <w:tr w:rsidR="00DB7A73" w14:paraId="7E48AD22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88BAAC" w14:textId="77777777" w:rsidR="00DB7A73" w:rsidRDefault="00DB7A73" w:rsidP="009E5B7B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Частота сессий в неделю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6E365F" w14:textId="77777777" w:rsidR="00DB7A73" w:rsidRDefault="00DB7A73" w:rsidP="009E5B7B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Среднее число открытий приложения за 7 дней на пользователя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B64D32" w14:textId="66D3B34C" w:rsidR="001737F4" w:rsidRDefault="00DB7A73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Baseline: ~4–5 раз/нед</w:t>
            </w:r>
            <w:r w:rsidR="003A61E8">
              <w:rPr>
                <w:rFonts w:ascii="Arial" w:eastAsia="Arial" w:hAnsi="Arial" w:cs="Arial"/>
                <w:color w:val="375623"/>
                <w:sz w:val="21"/>
                <w:szCs w:val="21"/>
              </w:rPr>
              <w:t>.</w:t>
            </w:r>
          </w:p>
          <w:p w14:paraId="5AEFA62A" w14:textId="62924BB7" w:rsidR="001737F4" w:rsidRDefault="00DB7A73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Цель: ~6–8 раз/нед</w:t>
            </w:r>
            <w:r w:rsidR="003A61E8">
              <w:rPr>
                <w:rFonts w:ascii="Arial" w:eastAsia="Arial" w:hAnsi="Arial" w:cs="Arial"/>
                <w:color w:val="375623"/>
                <w:sz w:val="21"/>
                <w:szCs w:val="21"/>
              </w:rPr>
              <w:t>.</w:t>
            </w:r>
          </w:p>
          <w:p w14:paraId="3C28A4D7" w14:textId="50B0518F" w:rsidR="00DB7A73" w:rsidRDefault="00DB7A73" w:rsidP="009E5B7B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Геймификация (задания/</w:t>
            </w:r>
            <w:r w:rsidR="003A61E8">
              <w:rPr>
                <w:rFonts w:ascii="Arial" w:eastAsia="Arial" w:hAnsi="Arial" w:cs="Arial"/>
                <w:color w:val="375623"/>
                <w:sz w:val="21"/>
                <w:szCs w:val="21"/>
              </w:rPr>
              <w:t>кэшбек</w:t>
            </w: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) — основной драйвер</w:t>
            </w:r>
          </w:p>
        </w:tc>
      </w:tr>
    </w:tbl>
    <w:p w14:paraId="04D5FC91" w14:textId="4526FA2C" w:rsidR="00DB7A73" w:rsidRDefault="00DB7A73">
      <w:pPr>
        <w:rPr>
          <w:rFonts w:ascii="Times New Roman" w:hAnsi="Times New Roman" w:cs="Times New Roman"/>
        </w:rPr>
      </w:pPr>
    </w:p>
    <w:p w14:paraId="0358378A" w14:textId="099CFE48" w:rsidR="00DB7A73" w:rsidRPr="00F96373" w:rsidRDefault="00DB7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бенчмарк берётся результат Сбербанка, представленный по ссылке: </w:t>
      </w:r>
      <w:hyperlink r:id="rId5" w:history="1">
        <w:r w:rsidRPr="00DB7A73">
          <w:rPr>
            <w:rStyle w:val="a3"/>
            <w:rFonts w:ascii="Times New Roman" w:hAnsi="Times New Roman" w:cs="Times New Roman"/>
            <w:sz w:val="28"/>
            <w:szCs w:val="28"/>
          </w:rPr>
          <w:t>https://www.sberbank.com/ru/investor-relations/groupresults/ifrs_results_for_the_3rd_quarter9oct</w:t>
        </w:r>
      </w:hyperlink>
      <w:r w:rsidR="001737F4">
        <w:rPr>
          <w:rFonts w:ascii="Times New Roman" w:hAnsi="Times New Roman" w:cs="Times New Roman"/>
          <w:sz w:val="28"/>
          <w:szCs w:val="28"/>
        </w:rPr>
        <w:t>. В данном отчёте</w:t>
      </w:r>
      <w:r w:rsidRPr="00DB7A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DAU</w:t>
      </w:r>
      <w:r w:rsidR="001737F4">
        <w:rPr>
          <w:rFonts w:ascii="Times New Roman" w:hAnsi="Times New Roman" w:cs="Times New Roman"/>
          <w:sz w:val="28"/>
          <w:szCs w:val="28"/>
        </w:rPr>
        <w:t xml:space="preserve"> составляет 43.7 </w:t>
      </w:r>
      <w:r w:rsidR="003A61E8">
        <w:rPr>
          <w:rFonts w:ascii="Times New Roman" w:hAnsi="Times New Roman" w:cs="Times New Roman"/>
          <w:sz w:val="28"/>
          <w:szCs w:val="28"/>
        </w:rPr>
        <w:t>млн.</w:t>
      </w:r>
      <w:r w:rsidR="001737F4">
        <w:rPr>
          <w:rFonts w:ascii="Times New Roman" w:hAnsi="Times New Roman" w:cs="Times New Roman"/>
          <w:sz w:val="28"/>
          <w:szCs w:val="28"/>
        </w:rPr>
        <w:t xml:space="preserve"> пользователей, а показатель </w:t>
      </w:r>
      <w:r w:rsidR="001737F4">
        <w:rPr>
          <w:rFonts w:ascii="Times New Roman" w:hAnsi="Times New Roman" w:cs="Times New Roman"/>
          <w:sz w:val="28"/>
          <w:szCs w:val="28"/>
          <w:lang w:val="en-US"/>
        </w:rPr>
        <w:t>DAU</w:t>
      </w:r>
      <w:r w:rsidR="001737F4" w:rsidRPr="001737F4">
        <w:rPr>
          <w:rFonts w:ascii="Times New Roman" w:hAnsi="Times New Roman" w:cs="Times New Roman"/>
          <w:sz w:val="28"/>
          <w:szCs w:val="28"/>
        </w:rPr>
        <w:t>/</w:t>
      </w:r>
      <w:r w:rsidR="001737F4">
        <w:rPr>
          <w:rFonts w:ascii="Times New Roman" w:hAnsi="Times New Roman" w:cs="Times New Roman"/>
          <w:sz w:val="28"/>
          <w:szCs w:val="28"/>
          <w:lang w:val="en-US"/>
        </w:rPr>
        <w:t>MAU</w:t>
      </w:r>
      <w:r w:rsidR="001737F4">
        <w:rPr>
          <w:rFonts w:ascii="Times New Roman" w:hAnsi="Times New Roman" w:cs="Times New Roman"/>
          <w:sz w:val="28"/>
          <w:szCs w:val="28"/>
        </w:rPr>
        <w:t xml:space="preserve"> </w:t>
      </w:r>
      <w:r w:rsidR="001737F4">
        <w:rPr>
          <w:rFonts w:ascii="Times New Roman" w:hAnsi="Times New Roman" w:cs="Times New Roman"/>
          <w:sz w:val="28"/>
          <w:szCs w:val="28"/>
        </w:rPr>
        <w:softHyphen/>
      </w:r>
      <w:r w:rsidR="001737F4">
        <w:rPr>
          <w:rFonts w:ascii="Times New Roman" w:hAnsi="Times New Roman" w:cs="Times New Roman"/>
          <w:sz w:val="28"/>
          <w:szCs w:val="28"/>
        </w:rPr>
        <w:softHyphen/>
        <w:t>– 51.7%</w:t>
      </w:r>
      <w:r w:rsidR="001C1F1A" w:rsidRPr="001C1F1A">
        <w:rPr>
          <w:rFonts w:ascii="Times New Roman" w:hAnsi="Times New Roman" w:cs="Times New Roman"/>
          <w:sz w:val="28"/>
          <w:szCs w:val="28"/>
        </w:rPr>
        <w:t>.</w:t>
      </w:r>
      <w:r w:rsidR="001C1F1A">
        <w:rPr>
          <w:rFonts w:ascii="Times New Roman" w:hAnsi="Times New Roman" w:cs="Times New Roman"/>
          <w:sz w:val="28"/>
          <w:szCs w:val="28"/>
        </w:rPr>
        <w:t xml:space="preserve"> Возьмём за цель более реалистичное значение в 35–46%</w:t>
      </w:r>
    </w:p>
    <w:p w14:paraId="6092E8E9" w14:textId="59A23F62" w:rsidR="00E031C0" w:rsidRPr="00F96373" w:rsidRDefault="001737F4" w:rsidP="001737F4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DB7A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Блок</w:t>
      </w:r>
      <w:r w:rsidRPr="00F963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2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Product</w:t>
      </w:r>
      <w:r w:rsidRPr="00F963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Discovery</w:t>
      </w:r>
      <w:r w:rsidRPr="00F963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Rate</w:t>
      </w:r>
      <w:r w:rsidRPr="00F963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и</w:t>
      </w:r>
      <w:r w:rsidRPr="00F963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воронка</w:t>
      </w:r>
      <w:r w:rsidRPr="00F963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CR</w:t>
      </w:r>
    </w:p>
    <w:p w14:paraId="40666BD7" w14:textId="060D37D8" w:rsidR="00E031C0" w:rsidRPr="001C1F1A" w:rsidRDefault="00E031C0" w:rsidP="00E031C0">
      <w:pPr>
        <w:pStyle w:val="2"/>
        <w:rPr>
          <w:lang w:val="en-US"/>
        </w:rPr>
      </w:pPr>
      <w:r w:rsidRPr="001C1F1A">
        <w:rPr>
          <w:lang w:val="en-US"/>
        </w:rPr>
        <w:t xml:space="preserve">2.1 Product Discovery Rate — </w:t>
      </w:r>
      <w:r>
        <w:t>видимость</w:t>
      </w:r>
      <w:r w:rsidRPr="001C1F1A">
        <w:rPr>
          <w:lang w:val="en-US"/>
        </w:rPr>
        <w:t xml:space="preserve"> </w:t>
      </w:r>
      <w:r>
        <w:t>продуктов</w:t>
      </w:r>
    </w:p>
    <w:p w14:paraId="4423FA70" w14:textId="77777777" w:rsidR="00E031C0" w:rsidRPr="001C1F1A" w:rsidRDefault="00E031C0" w:rsidP="00E031C0">
      <w:pPr>
        <w:rPr>
          <w:lang w:val="en-US" w:eastAsia="ru-RU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284EDD" w14:paraId="4A7B7257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D930A9" w14:textId="77777777" w:rsidR="00284EDD" w:rsidRDefault="00284EDD" w:rsidP="009E5B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Метрика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2C78AB" w14:textId="77777777" w:rsidR="00284EDD" w:rsidRDefault="00284EDD" w:rsidP="009E5B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Формула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1E1795" w14:textId="77777777" w:rsidR="00284EDD" w:rsidRDefault="00284EDD" w:rsidP="009E5B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Почему растёт TO-BE</w:t>
            </w:r>
          </w:p>
        </w:tc>
      </w:tr>
      <w:tr w:rsidR="00284EDD" w14:paraId="2C8FB7AD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DE4AD2" w14:textId="77777777" w:rsidR="00284EDD" w:rsidRDefault="00284EDD" w:rsidP="009E5B7B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Product Discovery Rate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E9449C" w14:textId="1BA25D1F" w:rsidR="00284EDD" w:rsidRDefault="00284EDD" w:rsidP="009E5B7B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Число пользователей, увидевших блок с продуктом X ÷ Все активные пользователи × 100%</w:t>
            </w:r>
            <w:r w:rsidR="003A61E8"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Считается отдельно для каждого продукта (кредит, вклад, страховка)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D70071" w14:textId="77777777" w:rsidR="001C1F1A" w:rsidRDefault="00284EDD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AS-IS: продукт виден только если пользователь идёт в «Витрину» → мало кто заходит</w:t>
            </w:r>
          </w:p>
          <w:p w14:paraId="6DFA0B48" w14:textId="536EA5AF" w:rsidR="00284EDD" w:rsidRDefault="00284EDD" w:rsidP="009E5B7B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TO-BE: контекстный блок появляется на главном → продукт виден пассивно</w:t>
            </w:r>
          </w:p>
        </w:tc>
      </w:tr>
      <w:tr w:rsidR="00284EDD" w14:paraId="3C417BED" w14:textId="77777777" w:rsidTr="009E5B7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863EB1" w14:textId="2369E5D0" w:rsidR="00284EDD" w:rsidRDefault="00DD09D9" w:rsidP="009E5B7B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lastRenderedPageBreak/>
              <w:t>Дебетовые карты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1FD3C8" w14:textId="0C750C4A" w:rsidR="00284EDD" w:rsidRPr="00D52A75" w:rsidRDefault="00DD09D9" w:rsidP="009E5B7B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 xml:space="preserve">1.2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млн</w:t>
            </w:r>
            <w:r w:rsidR="006347D5"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2 млн.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>MAU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</w:t>
            </w:r>
            <w:r w:rsidR="006347D5">
              <w:rPr>
                <w:rFonts w:ascii="Arial" w:eastAsia="Arial" w:hAnsi="Arial" w:cs="Arial"/>
                <w:color w:val="222222"/>
                <w:sz w:val="21"/>
                <w:szCs w:val="21"/>
              </w:rPr>
              <w:t>=60%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5A00AC" w14:textId="77777777" w:rsidR="002E2CB6" w:rsidRDefault="00284EDD" w:rsidP="009E5B7B">
            <w:pPr>
              <w:rPr>
                <w:rFonts w:ascii="Arial" w:eastAsia="Arial" w:hAnsi="Arial" w:cs="Arial"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Рост общего PDR по кредитам: с 12% → 25–30%</w:t>
            </w:r>
          </w:p>
          <w:p w14:paraId="350C8470" w14:textId="199DAF47" w:rsidR="00284EDD" w:rsidRDefault="00284EDD" w:rsidP="009E5B7B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За счёт контекстного показа вместо «найди сам»</w:t>
            </w:r>
          </w:p>
        </w:tc>
      </w:tr>
    </w:tbl>
    <w:p w14:paraId="57C25380" w14:textId="373C18A0" w:rsidR="001737F4" w:rsidRDefault="001737F4" w:rsidP="00284EDD">
      <w:pPr>
        <w:rPr>
          <w:rFonts w:ascii="Times New Roman" w:hAnsi="Times New Roman" w:cs="Times New Roman"/>
          <w:sz w:val="28"/>
          <w:szCs w:val="28"/>
        </w:rPr>
      </w:pPr>
    </w:p>
    <w:p w14:paraId="178990B0" w14:textId="0955C9B3" w:rsidR="00284EDD" w:rsidRDefault="009272E4" w:rsidP="00284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отчёту ОТП банка за 2024 (последний из имеющихся отчётов, прикреплённых на официальном сайте), находящемуся по ссылке: </w:t>
      </w:r>
      <w:hyperlink r:id="rId6" w:history="1">
        <w:r w:rsidRPr="009272E4">
          <w:rPr>
            <w:rStyle w:val="a3"/>
            <w:rFonts w:ascii="Times New Roman" w:hAnsi="Times New Roman" w:cs="Times New Roman"/>
            <w:sz w:val="28"/>
            <w:szCs w:val="28"/>
          </w:rPr>
          <w:t>https://www.otpbank.ru/about/akcyy/last_year_reports/docs/GO2024new.pdf</w:t>
        </w:r>
      </w:hyperlink>
      <w:r>
        <w:rPr>
          <w:rFonts w:ascii="Times New Roman" w:hAnsi="Times New Roman" w:cs="Times New Roman"/>
          <w:sz w:val="28"/>
          <w:szCs w:val="28"/>
        </w:rPr>
        <w:t>, число активных пользователей составляет более 2 миллионов (для упрощения подсчётов округляем до 2 млн)</w:t>
      </w:r>
    </w:p>
    <w:p w14:paraId="33CE9602" w14:textId="2E771CA5" w:rsidR="00DD09D9" w:rsidRPr="00F96373" w:rsidRDefault="00DD09D9" w:rsidP="00284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продано 600 тыс. дебетовых карт, что позволяет сказать о высокой осведомлённости о данном продукте (30% активных пользователей приобрели продукт). Можно сделать предположение, что по крайней мере ещё такое же количество клиентов увидели товар, но не заинтересовались в нём, что приводит нас к результату в 60% </w:t>
      </w:r>
      <w:r>
        <w:rPr>
          <w:rFonts w:ascii="Times New Roman" w:hAnsi="Times New Roman" w:cs="Times New Roman"/>
          <w:sz w:val="28"/>
          <w:szCs w:val="28"/>
          <w:lang w:val="en-US"/>
        </w:rPr>
        <w:t>PDR</w:t>
      </w:r>
    </w:p>
    <w:p w14:paraId="75E82A44" w14:textId="47EE3754" w:rsidR="006C0BA9" w:rsidRDefault="00F80ECF" w:rsidP="00284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от сбербанка число активных клиентов составляет 110,5 млн., а согласно новостному интернет изданию </w:t>
      </w:r>
      <w:r>
        <w:rPr>
          <w:rFonts w:ascii="Times New Roman" w:hAnsi="Times New Roman" w:cs="Times New Roman"/>
          <w:sz w:val="28"/>
          <w:szCs w:val="28"/>
          <w:lang w:val="en-US"/>
        </w:rPr>
        <w:t>lenta</w:t>
      </w:r>
      <w:r w:rsidRPr="00F80E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F80ECF">
          <w:rPr>
            <w:rStyle w:val="a3"/>
            <w:rFonts w:ascii="Times New Roman" w:hAnsi="Times New Roman" w:cs="Times New Roman"/>
            <w:sz w:val="28"/>
            <w:szCs w:val="28"/>
          </w:rPr>
          <w:t>https://lenta.ru/news/2025/12/10/sber-predstavil-servisy-dom-i-avto-dlya-upravleniya-nedvizhimostyu-i-avtomobilyami/</w:t>
        </w:r>
      </w:hyperlink>
      <w:r>
        <w:rPr>
          <w:rFonts w:ascii="Times New Roman" w:hAnsi="Times New Roman" w:cs="Times New Roman"/>
          <w:sz w:val="28"/>
          <w:szCs w:val="28"/>
        </w:rPr>
        <w:t>, на момент 10 декабря 2025 года раздел «Дом»(в случае ОТП банка будет служить примеров для блока «Ремонт») использовало 15 млн., а раздел «Авто» 3,8 млн.</w:t>
      </w:r>
      <w:r w:rsidR="009B19FE">
        <w:rPr>
          <w:rFonts w:ascii="Times New Roman" w:hAnsi="Times New Roman" w:cs="Times New Roman"/>
          <w:sz w:val="28"/>
          <w:szCs w:val="28"/>
        </w:rPr>
        <w:t xml:space="preserve"> По данным представленным в результатах за 3 квартал 2025 года от Т-Банка: </w:t>
      </w:r>
      <w:hyperlink r:id="rId8" w:history="1">
        <w:r w:rsidR="009B19FE" w:rsidRPr="006E1365">
          <w:rPr>
            <w:rStyle w:val="a3"/>
            <w:rFonts w:ascii="Times New Roman" w:hAnsi="Times New Roman" w:cs="Times New Roman"/>
            <w:sz w:val="28"/>
            <w:szCs w:val="28"/>
          </w:rPr>
          <w:t>https://cdn.tbank.ru/static/documents/2bc325e2-8b0d-4c70-94c1-274702ef03de.pdf</w:t>
        </w:r>
      </w:hyperlink>
      <w:r w:rsidR="009B19FE">
        <w:rPr>
          <w:rFonts w:ascii="Times New Roman" w:hAnsi="Times New Roman" w:cs="Times New Roman"/>
          <w:sz w:val="28"/>
          <w:szCs w:val="28"/>
        </w:rPr>
        <w:t xml:space="preserve">,  из 32 млн. активных пользователей около 10 млн. активно пользуются лайфстайл-сервисами, в которые входят </w:t>
      </w:r>
      <w:r w:rsidR="000A0F46">
        <w:rPr>
          <w:rFonts w:ascii="Times New Roman" w:hAnsi="Times New Roman" w:cs="Times New Roman"/>
          <w:sz w:val="28"/>
          <w:szCs w:val="28"/>
        </w:rPr>
        <w:t>«П</w:t>
      </w:r>
      <w:r w:rsidR="00B81012">
        <w:rPr>
          <w:rFonts w:ascii="Times New Roman" w:hAnsi="Times New Roman" w:cs="Times New Roman"/>
          <w:sz w:val="28"/>
          <w:szCs w:val="28"/>
        </w:rPr>
        <w:t>утешествия</w:t>
      </w:r>
      <w:r w:rsidR="000A0F46">
        <w:rPr>
          <w:rFonts w:ascii="Times New Roman" w:hAnsi="Times New Roman" w:cs="Times New Roman"/>
          <w:sz w:val="28"/>
          <w:szCs w:val="28"/>
        </w:rPr>
        <w:t>»</w:t>
      </w:r>
      <w:r w:rsidR="009B19FE">
        <w:rPr>
          <w:rFonts w:ascii="Times New Roman" w:hAnsi="Times New Roman" w:cs="Times New Roman"/>
          <w:sz w:val="28"/>
          <w:szCs w:val="28"/>
        </w:rPr>
        <w:t xml:space="preserve"> (отпуск)</w:t>
      </w:r>
      <w:r w:rsidR="000A0F46">
        <w:rPr>
          <w:rFonts w:ascii="Times New Roman" w:hAnsi="Times New Roman" w:cs="Times New Roman"/>
          <w:sz w:val="28"/>
          <w:szCs w:val="28"/>
        </w:rPr>
        <w:t xml:space="preserve"> и «Город», что содержит раздел «Рестораны». Так как количество пользователей пользующихся отдельно данными блоками, возьмём 60% до клиентов, использующих лайфстайл-сервисы, как клиентов пользующихся «Путешествия», и 30%, как клиентов использующих «Рестораны»</w:t>
      </w:r>
      <w:r w:rsidR="009B19FE">
        <w:rPr>
          <w:rFonts w:ascii="Times New Roman" w:hAnsi="Times New Roman" w:cs="Times New Roman"/>
          <w:sz w:val="28"/>
          <w:szCs w:val="28"/>
        </w:rPr>
        <w:t>.</w:t>
      </w:r>
      <w:r w:rsidR="009B19FE">
        <w:rPr>
          <w:rFonts w:ascii="Times New Roman" w:hAnsi="Times New Roman" w:cs="Times New Roman"/>
          <w:sz w:val="28"/>
          <w:szCs w:val="28"/>
        </w:rPr>
        <w:br/>
        <w:t xml:space="preserve">Так в среднем </w:t>
      </w:r>
      <w:r w:rsidR="009B19FE">
        <w:rPr>
          <w:rFonts w:ascii="Times New Roman" w:hAnsi="Times New Roman" w:cs="Times New Roman"/>
          <w:sz w:val="28"/>
          <w:szCs w:val="28"/>
          <w:lang w:val="en-US"/>
        </w:rPr>
        <w:t>PDR</w:t>
      </w:r>
      <w:r w:rsidR="009B19FE">
        <w:rPr>
          <w:rFonts w:ascii="Times New Roman" w:hAnsi="Times New Roman" w:cs="Times New Roman"/>
          <w:sz w:val="28"/>
          <w:szCs w:val="28"/>
        </w:rPr>
        <w:t xml:space="preserve"> блока «Ремонт» составит 13,6%</w:t>
      </w:r>
      <w:r w:rsidR="002C1BEE">
        <w:rPr>
          <w:rFonts w:ascii="Times New Roman" w:hAnsi="Times New Roman" w:cs="Times New Roman"/>
          <w:sz w:val="28"/>
          <w:szCs w:val="28"/>
        </w:rPr>
        <w:t>, блока «Авто» 3,5%,</w:t>
      </w:r>
      <w:r w:rsidR="000A0F46">
        <w:rPr>
          <w:rFonts w:ascii="Times New Roman" w:hAnsi="Times New Roman" w:cs="Times New Roman"/>
          <w:sz w:val="28"/>
          <w:szCs w:val="28"/>
        </w:rPr>
        <w:t xml:space="preserve"> </w:t>
      </w:r>
      <w:r w:rsidR="002C1BEE">
        <w:rPr>
          <w:rFonts w:ascii="Times New Roman" w:hAnsi="Times New Roman" w:cs="Times New Roman"/>
          <w:sz w:val="28"/>
          <w:szCs w:val="28"/>
        </w:rPr>
        <w:t xml:space="preserve">блока «Отпуск» </w:t>
      </w:r>
      <w:r w:rsidR="000A0F46">
        <w:rPr>
          <w:rFonts w:ascii="Times New Roman" w:hAnsi="Times New Roman" w:cs="Times New Roman"/>
          <w:sz w:val="28"/>
          <w:szCs w:val="28"/>
        </w:rPr>
        <w:t>18,75</w:t>
      </w:r>
      <w:r w:rsidR="002C1BEE">
        <w:rPr>
          <w:rFonts w:ascii="Times New Roman" w:hAnsi="Times New Roman" w:cs="Times New Roman"/>
          <w:sz w:val="28"/>
          <w:szCs w:val="28"/>
        </w:rPr>
        <w:t>%</w:t>
      </w:r>
      <w:r w:rsidR="000A0F46">
        <w:rPr>
          <w:rFonts w:ascii="Times New Roman" w:hAnsi="Times New Roman" w:cs="Times New Roman"/>
          <w:sz w:val="28"/>
          <w:szCs w:val="28"/>
        </w:rPr>
        <w:t xml:space="preserve"> и блока «Рестораны» 9,4%</w:t>
      </w:r>
      <w:r w:rsidR="002C1BEE">
        <w:rPr>
          <w:rFonts w:ascii="Times New Roman" w:hAnsi="Times New Roman" w:cs="Times New Roman"/>
          <w:sz w:val="28"/>
          <w:szCs w:val="28"/>
        </w:rPr>
        <w:t>.</w:t>
      </w:r>
      <w:r w:rsidR="00430B8D">
        <w:rPr>
          <w:rFonts w:ascii="Times New Roman" w:hAnsi="Times New Roman" w:cs="Times New Roman"/>
          <w:sz w:val="28"/>
          <w:szCs w:val="28"/>
        </w:rPr>
        <w:t xml:space="preserve"> Следовательно данные блоки видели 272 тыс., 70 тыс.</w:t>
      </w:r>
      <w:r w:rsidR="000A0F46">
        <w:rPr>
          <w:rFonts w:ascii="Times New Roman" w:hAnsi="Times New Roman" w:cs="Times New Roman"/>
          <w:sz w:val="28"/>
          <w:szCs w:val="28"/>
        </w:rPr>
        <w:t>,</w:t>
      </w:r>
      <w:r w:rsidR="00430B8D">
        <w:rPr>
          <w:rFonts w:ascii="Times New Roman" w:hAnsi="Times New Roman" w:cs="Times New Roman"/>
          <w:sz w:val="28"/>
          <w:szCs w:val="28"/>
        </w:rPr>
        <w:t xml:space="preserve"> </w:t>
      </w:r>
      <w:r w:rsidR="000A0F46">
        <w:rPr>
          <w:rFonts w:ascii="Times New Roman" w:hAnsi="Times New Roman" w:cs="Times New Roman"/>
          <w:sz w:val="28"/>
          <w:szCs w:val="28"/>
        </w:rPr>
        <w:t>375</w:t>
      </w:r>
      <w:r w:rsidR="00430B8D">
        <w:rPr>
          <w:rFonts w:ascii="Times New Roman" w:hAnsi="Times New Roman" w:cs="Times New Roman"/>
          <w:sz w:val="28"/>
          <w:szCs w:val="28"/>
        </w:rPr>
        <w:t xml:space="preserve"> тыс. </w:t>
      </w:r>
      <w:r w:rsidR="000A0F46">
        <w:rPr>
          <w:rFonts w:ascii="Times New Roman" w:hAnsi="Times New Roman" w:cs="Times New Roman"/>
          <w:sz w:val="28"/>
          <w:szCs w:val="28"/>
        </w:rPr>
        <w:t>и 188 тыс.</w:t>
      </w:r>
      <w:r w:rsidR="000A0F46" w:rsidRPr="000A0F46">
        <w:rPr>
          <w:rFonts w:ascii="Times New Roman" w:hAnsi="Times New Roman" w:cs="Times New Roman"/>
          <w:sz w:val="28"/>
          <w:szCs w:val="28"/>
        </w:rPr>
        <w:t xml:space="preserve"> </w:t>
      </w:r>
      <w:r w:rsidR="000A0F46">
        <w:rPr>
          <w:rFonts w:ascii="Times New Roman" w:hAnsi="Times New Roman" w:cs="Times New Roman"/>
          <w:sz w:val="28"/>
          <w:szCs w:val="28"/>
        </w:rPr>
        <w:t>клиентов</w:t>
      </w:r>
      <w:r w:rsidR="00430B8D">
        <w:rPr>
          <w:rFonts w:ascii="Times New Roman" w:hAnsi="Times New Roman" w:cs="Times New Roman"/>
          <w:sz w:val="28"/>
          <w:szCs w:val="28"/>
        </w:rPr>
        <w:t>.</w:t>
      </w:r>
    </w:p>
    <w:p w14:paraId="18CD6FB4" w14:textId="1C430C3B" w:rsidR="00E031C0" w:rsidRDefault="00E031C0" w:rsidP="00284EDD">
      <w:pPr>
        <w:rPr>
          <w:rFonts w:ascii="Times New Roman" w:hAnsi="Times New Roman" w:cs="Times New Roman"/>
          <w:sz w:val="28"/>
          <w:szCs w:val="28"/>
        </w:rPr>
      </w:pPr>
    </w:p>
    <w:p w14:paraId="278B5C65" w14:textId="643E8682" w:rsidR="00E031C0" w:rsidRDefault="00E031C0" w:rsidP="00383C0C">
      <w:pPr>
        <w:pStyle w:val="2"/>
      </w:pPr>
      <w:r>
        <w:t>2.2 Conversion Rate (CR) в продукт</w:t>
      </w:r>
    </w:p>
    <w:p w14:paraId="533903FB" w14:textId="77777777" w:rsidR="00E031C0" w:rsidRDefault="00E031C0" w:rsidP="00284EDD">
      <w:pPr>
        <w:rPr>
          <w:rFonts w:ascii="Times New Roman" w:hAnsi="Times New Roman" w:cs="Times New Roman"/>
          <w:sz w:val="28"/>
          <w:szCs w:val="28"/>
        </w:rPr>
      </w:pPr>
    </w:p>
    <w:p w14:paraId="55A09775" w14:textId="63924BAE" w:rsidR="00430B8D" w:rsidRDefault="00430B8D" w:rsidP="00284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расчёта пользователей, оформивших заявку, которых не было бы без новой витрины, умножаем </w:t>
      </w:r>
      <w:r w:rsidR="00933B19">
        <w:rPr>
          <w:rFonts w:ascii="Times New Roman" w:hAnsi="Times New Roman" w:cs="Times New Roman"/>
          <w:sz w:val="28"/>
          <w:szCs w:val="28"/>
        </w:rPr>
        <w:t>на процент</w:t>
      </w:r>
      <w:r>
        <w:rPr>
          <w:rFonts w:ascii="Times New Roman" w:hAnsi="Times New Roman" w:cs="Times New Roman"/>
          <w:sz w:val="28"/>
          <w:szCs w:val="28"/>
        </w:rPr>
        <w:t xml:space="preserve"> клиентов, увидевших блок, </w:t>
      </w:r>
      <w:r w:rsidR="00933B19">
        <w:rPr>
          <w:rFonts w:ascii="Times New Roman" w:hAnsi="Times New Roman" w:cs="Times New Roman"/>
          <w:sz w:val="28"/>
          <w:szCs w:val="28"/>
        </w:rPr>
        <w:t xml:space="preserve">на процент </w:t>
      </w:r>
      <w:r>
        <w:rPr>
          <w:rFonts w:ascii="Times New Roman" w:hAnsi="Times New Roman" w:cs="Times New Roman"/>
          <w:sz w:val="28"/>
          <w:szCs w:val="28"/>
        </w:rPr>
        <w:t>заинтересовавшихся</w:t>
      </w:r>
      <w:r w:rsidR="00933B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 </w:t>
      </w:r>
      <w:r w:rsidR="00933B19">
        <w:rPr>
          <w:rFonts w:ascii="Times New Roman" w:hAnsi="Times New Roman" w:cs="Times New Roman"/>
          <w:sz w:val="28"/>
          <w:szCs w:val="28"/>
        </w:rPr>
        <w:t>процент клиентов, что оформят заявку</w:t>
      </w:r>
    </w:p>
    <w:p w14:paraId="7E6E2E72" w14:textId="52F43633" w:rsidR="00383C0C" w:rsidRDefault="00383C0C" w:rsidP="00284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Учитывая, что на момент 2022 года средний чек составлял 46 тыс. (</w:t>
      </w:r>
      <w:r w:rsidRPr="00383C0C">
        <w:t xml:space="preserve"> </w:t>
      </w:r>
      <w:hyperlink r:id="rId9" w:history="1">
        <w:r w:rsidRPr="00383C0C">
          <w:rPr>
            <w:rStyle w:val="a3"/>
            <w:rFonts w:ascii="Times New Roman" w:hAnsi="Times New Roman" w:cs="Times New Roman"/>
            <w:sz w:val="28"/>
            <w:szCs w:val="28"/>
          </w:rPr>
          <w:t>https://myseldon.com/ru/news/index/267952233</w:t>
        </w:r>
      </w:hyperlink>
      <w:r>
        <w:rPr>
          <w:rFonts w:ascii="Times New Roman" w:hAnsi="Times New Roman" w:cs="Times New Roman"/>
          <w:sz w:val="28"/>
          <w:szCs w:val="28"/>
        </w:rPr>
        <w:t>), что составило прирост в 12%, можно рассчитать, что примерным средним чеком на 2025 год составляет около 64 тыс.</w:t>
      </w:r>
    </w:p>
    <w:p w14:paraId="1C7BB024" w14:textId="502108DA" w:rsidR="00401784" w:rsidRDefault="00401784" w:rsidP="00284EDD">
      <w:pPr>
        <w:rPr>
          <w:rFonts w:ascii="Times New Roman" w:hAnsi="Times New Roman" w:cs="Times New Roman"/>
          <w:sz w:val="28"/>
          <w:szCs w:val="28"/>
        </w:rPr>
      </w:pPr>
    </w:p>
    <w:p w14:paraId="1E5D80BE" w14:textId="29FC9EFA" w:rsidR="00401784" w:rsidRPr="00383C0C" w:rsidRDefault="00401784" w:rsidP="00401784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DB7A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Блок</w:t>
      </w:r>
      <w:r w:rsidRPr="00383C0C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3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ARPU</w:t>
      </w:r>
      <w:r w:rsidRPr="00383C0C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и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CLV</w:t>
      </w:r>
    </w:p>
    <w:p w14:paraId="5B6BB921" w14:textId="2C1D2B98" w:rsidR="002F1895" w:rsidRDefault="002F1895" w:rsidP="002F1895">
      <w:pPr>
        <w:pStyle w:val="2"/>
      </w:pPr>
      <w:r>
        <w:t>3.1 ARPU — средний доход на пользователя</w:t>
      </w:r>
    </w:p>
    <w:p w14:paraId="761E30EB" w14:textId="77777777" w:rsidR="002F1895" w:rsidRPr="002F1895" w:rsidRDefault="002F1895" w:rsidP="002F1895">
      <w:pPr>
        <w:rPr>
          <w:lang w:eastAsia="ru-RU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880"/>
        <w:gridCol w:w="2480"/>
      </w:tblGrid>
      <w:tr w:rsidR="00401784" w14:paraId="236367EF" w14:textId="77777777" w:rsidTr="009A620A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AED4CCB" w14:textId="77777777" w:rsidR="00401784" w:rsidRDefault="00401784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Компонент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A7D693" w14:textId="77777777" w:rsidR="00401784" w:rsidRDefault="00401784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Что входит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DF87A4" w14:textId="77777777" w:rsidR="00401784" w:rsidRDefault="00401784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Влияние новой витрины</w:t>
            </w:r>
          </w:p>
        </w:tc>
      </w:tr>
      <w:tr w:rsidR="00401784" w14:paraId="22A395E0" w14:textId="77777777" w:rsidTr="009A620A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970EFF" w14:textId="77777777" w:rsidR="00401784" w:rsidRDefault="00401784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Комиссионный доход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2717F1" w14:textId="63DB2E1F" w:rsidR="00401784" w:rsidRPr="002F1895" w:rsidRDefault="00401784" w:rsidP="009A620A">
            <w:pPr>
              <w:rPr>
                <w:rFonts w:ascii="Arial" w:hAnsi="Arial" w:cs="Arial"/>
                <w:sz w:val="21"/>
                <w:szCs w:val="21"/>
              </w:rPr>
            </w:pPr>
            <w:r w:rsidRPr="002F1895">
              <w:rPr>
                <w:rFonts w:ascii="Arial" w:eastAsia="Arial" w:hAnsi="Arial" w:cs="Arial"/>
                <w:color w:val="222222"/>
                <w:sz w:val="21"/>
                <w:szCs w:val="21"/>
              </w:rPr>
              <w:t>Доход от переводов, платежей, конвертации валют</w:t>
            </w:r>
            <w:r w:rsidR="002F1895" w:rsidRPr="002F1895"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= </w:t>
            </w:r>
            <w:r w:rsidR="002F1895" w:rsidRPr="002F1895">
              <w:rPr>
                <w:rFonts w:ascii="Arial" w:hAnsi="Arial" w:cs="Arial"/>
                <w:sz w:val="21"/>
                <w:szCs w:val="21"/>
              </w:rPr>
              <w:t>40,3 млрд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CE4115" w14:textId="77777777" w:rsidR="00401784" w:rsidRDefault="00401784" w:rsidP="009A620A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↑ за счёт роста частоты сессий и числа операций</w:t>
            </w:r>
          </w:p>
        </w:tc>
      </w:tr>
      <w:tr w:rsidR="00401784" w14:paraId="7F942C10" w14:textId="77777777" w:rsidTr="009A620A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B984A5" w14:textId="77777777" w:rsidR="00401784" w:rsidRDefault="00401784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Процентный доход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2298B8" w14:textId="7275CF6E" w:rsidR="00401784" w:rsidRPr="002F1895" w:rsidRDefault="00401784" w:rsidP="009A620A">
            <w:pPr>
              <w:rPr>
                <w:rFonts w:ascii="Arial" w:hAnsi="Arial" w:cs="Arial"/>
                <w:sz w:val="21"/>
                <w:szCs w:val="21"/>
              </w:rPr>
            </w:pPr>
            <w:r w:rsidRPr="002F1895">
              <w:rPr>
                <w:rFonts w:ascii="Arial" w:eastAsia="Arial" w:hAnsi="Arial" w:cs="Arial"/>
                <w:color w:val="222222"/>
                <w:sz w:val="21"/>
                <w:szCs w:val="21"/>
              </w:rPr>
              <w:t>Доход от кредитных продуктов (маржа), вкладов (сокращение стоимости фондирования)</w:t>
            </w:r>
            <w:r w:rsidR="002F1895" w:rsidRPr="002F1895"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= </w:t>
            </w:r>
            <w:r w:rsidR="002F1895" w:rsidRPr="002F1895">
              <w:rPr>
                <w:rFonts w:ascii="Arial" w:hAnsi="Arial" w:cs="Arial"/>
                <w:sz w:val="21"/>
                <w:szCs w:val="21"/>
              </w:rPr>
              <w:t>67,2 млрд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49782D" w14:textId="77777777" w:rsidR="00401784" w:rsidRDefault="00401784" w:rsidP="009A620A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↑ CR в кредиты → прямой рост</w:t>
            </w:r>
          </w:p>
        </w:tc>
      </w:tr>
      <w:tr w:rsidR="00401784" w14:paraId="00AA214A" w14:textId="77777777" w:rsidTr="009A620A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6B689B" w14:textId="77777777" w:rsidR="00401784" w:rsidRDefault="00401784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Продуктовая глубина</w:t>
            </w:r>
          </w:p>
        </w:tc>
        <w:tc>
          <w:tcPr>
            <w:tcW w:w="4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98F9D2" w14:textId="77777777" w:rsidR="00401784" w:rsidRDefault="00401784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Среднее число продуктов у клиента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B4BC57" w14:textId="77777777" w:rsidR="00401784" w:rsidRDefault="00401784" w:rsidP="009A620A">
            <w:r>
              <w:rPr>
                <w:rFonts w:ascii="Arial" w:eastAsia="Arial" w:hAnsi="Arial" w:cs="Arial"/>
                <w:color w:val="375623"/>
                <w:sz w:val="21"/>
                <w:szCs w:val="21"/>
              </w:rPr>
              <w:t>Цель: +0.3–0.5 продукта/клиент за год</w:t>
            </w:r>
          </w:p>
        </w:tc>
      </w:tr>
    </w:tbl>
    <w:p w14:paraId="4A4FB0CA" w14:textId="79D56A6B" w:rsidR="00401784" w:rsidRDefault="00401784" w:rsidP="00401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608755" w14:textId="4744131A" w:rsidR="002F1895" w:rsidRPr="002E2CB6" w:rsidRDefault="002F1895" w:rsidP="00401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ARPU</w:t>
      </w:r>
      <w:r w:rsidRPr="002E2CB6">
        <w:rPr>
          <w:rFonts w:ascii="Times New Roman" w:hAnsi="Times New Roman" w:cs="Times New Roman"/>
          <w:sz w:val="28"/>
          <w:szCs w:val="28"/>
        </w:rPr>
        <w:t xml:space="preserve"> = </w:t>
      </w:r>
      <w:r w:rsidR="00517262" w:rsidRPr="002E2CB6">
        <w:rPr>
          <w:rFonts w:ascii="Times New Roman" w:hAnsi="Times New Roman" w:cs="Times New Roman"/>
          <w:sz w:val="28"/>
          <w:szCs w:val="28"/>
        </w:rPr>
        <w:t>(</w:t>
      </w:r>
      <w:r w:rsidRPr="002E2CB6">
        <w:rPr>
          <w:rFonts w:ascii="Times New Roman" w:hAnsi="Times New Roman" w:cs="Times New Roman"/>
          <w:sz w:val="28"/>
          <w:szCs w:val="28"/>
        </w:rPr>
        <w:t>40</w:t>
      </w:r>
      <w:r w:rsidR="00517262" w:rsidRPr="002E2CB6">
        <w:rPr>
          <w:rFonts w:ascii="Times New Roman" w:hAnsi="Times New Roman" w:cs="Times New Roman"/>
          <w:sz w:val="28"/>
          <w:szCs w:val="28"/>
        </w:rPr>
        <w:t xml:space="preserve"> </w:t>
      </w:r>
      <w:r w:rsidRPr="002E2CB6">
        <w:rPr>
          <w:rFonts w:ascii="Times New Roman" w:hAnsi="Times New Roman" w:cs="Times New Roman"/>
          <w:sz w:val="28"/>
          <w:szCs w:val="28"/>
        </w:rPr>
        <w:t>300+</w:t>
      </w:r>
      <w:r w:rsidR="00517262" w:rsidRPr="002E2CB6">
        <w:rPr>
          <w:rFonts w:ascii="Times New Roman" w:hAnsi="Times New Roman" w:cs="Times New Roman"/>
          <w:sz w:val="28"/>
          <w:szCs w:val="28"/>
        </w:rPr>
        <w:t>67 200)/2 = 53</w:t>
      </w:r>
      <w:r w:rsidR="00517262" w:rsidRPr="00F9637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17262" w:rsidRPr="002E2CB6">
        <w:rPr>
          <w:rFonts w:ascii="Times New Roman" w:hAnsi="Times New Roman" w:cs="Times New Roman"/>
          <w:sz w:val="28"/>
          <w:szCs w:val="28"/>
        </w:rPr>
        <w:t xml:space="preserve">730 </w:t>
      </w:r>
      <w:r w:rsidR="002E2CB6">
        <w:rPr>
          <w:rFonts w:ascii="Times New Roman" w:hAnsi="Times New Roman" w:cs="Times New Roman"/>
          <w:sz w:val="28"/>
          <w:szCs w:val="28"/>
        </w:rPr>
        <w:t>руб/клиент в год</w:t>
      </w:r>
      <w:r w:rsidR="00517262" w:rsidRPr="002E2CB6">
        <w:rPr>
          <w:rFonts w:ascii="Times New Roman" w:hAnsi="Times New Roman" w:cs="Times New Roman"/>
          <w:sz w:val="28"/>
          <w:szCs w:val="28"/>
        </w:rPr>
        <w:t>.</w:t>
      </w:r>
    </w:p>
    <w:p w14:paraId="01E6A35B" w14:textId="3D5C7886" w:rsidR="003A20AF" w:rsidRPr="00F96373" w:rsidRDefault="003A20AF" w:rsidP="003A20AF">
      <w:pPr>
        <w:pStyle w:val="2"/>
        <w:rPr>
          <w:lang w:val="en-US"/>
        </w:rPr>
      </w:pPr>
      <w:r w:rsidRPr="00F96373">
        <w:rPr>
          <w:lang w:val="en-US"/>
        </w:rPr>
        <w:t>3.2 CLV — Customer Lifetime Value</w:t>
      </w:r>
    </w:p>
    <w:p w14:paraId="0A6148B1" w14:textId="1FFAB1B6" w:rsidR="003C1FC8" w:rsidRDefault="003A61E8" w:rsidP="00401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61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0671C" wp14:editId="602236EF">
            <wp:extent cx="5940425" cy="1220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6A08" w14:textId="7AAEEE65" w:rsidR="003A20AF" w:rsidRDefault="003A20AF" w:rsidP="003A20AF">
      <w:pPr>
        <w:pStyle w:val="2"/>
      </w:pPr>
      <w:r>
        <w:t>3.3 Churn Rate и экономика удержания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635B98" w14:paraId="253F8D4E" w14:textId="77777777" w:rsidTr="009A620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8754DB" w14:textId="77777777" w:rsidR="00635B98" w:rsidRDefault="00635B98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Метрика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CF2FDA" w14:textId="7FDC86CB" w:rsidR="00635B98" w:rsidRPr="00635B98" w:rsidRDefault="00635B98" w:rsidP="009A620A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>AS-IS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6B6CF4" w14:textId="353243F2" w:rsidR="00635B98" w:rsidRPr="00C603C4" w:rsidRDefault="00C603C4" w:rsidP="00C603C4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>TO-BE</w:t>
            </w:r>
          </w:p>
        </w:tc>
      </w:tr>
      <w:tr w:rsidR="00635B98" w14:paraId="070C0A23" w14:textId="77777777" w:rsidTr="00C603C4">
        <w:trPr>
          <w:trHeight w:val="15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1CB9D0" w14:textId="77777777" w:rsidR="00635B98" w:rsidRDefault="00635B98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Churn Rate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11172F" w14:textId="791DFD52" w:rsidR="00635B98" w:rsidRPr="00635B98" w:rsidRDefault="00635B98" w:rsidP="009A620A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>2</w:t>
            </w:r>
            <w:r w:rsidR="00C16B05"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>8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>%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B34FDF" w14:textId="1BCEE688" w:rsidR="00635B98" w:rsidRPr="00C603C4" w:rsidRDefault="00C16B05" w:rsidP="009A620A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color w:val="375623"/>
                <w:sz w:val="21"/>
                <w:szCs w:val="21"/>
                <w:lang w:val="en-US"/>
              </w:rPr>
              <w:t>22</w:t>
            </w:r>
            <w:r w:rsidR="00C603C4">
              <w:rPr>
                <w:rFonts w:ascii="Arial" w:eastAsia="Arial" w:hAnsi="Arial" w:cs="Arial"/>
                <w:color w:val="375623"/>
                <w:sz w:val="21"/>
                <w:szCs w:val="21"/>
                <w:lang w:val="en-US"/>
              </w:rPr>
              <w:t>%</w:t>
            </w:r>
          </w:p>
        </w:tc>
      </w:tr>
    </w:tbl>
    <w:p w14:paraId="23FCA3C3" w14:textId="77777777" w:rsidR="00635B98" w:rsidRPr="00635B98" w:rsidRDefault="00635B98" w:rsidP="00635B98">
      <w:pPr>
        <w:rPr>
          <w:lang w:eastAsia="ru-RU"/>
        </w:rPr>
      </w:pPr>
    </w:p>
    <w:p w14:paraId="1B9A1F51" w14:textId="3E823017" w:rsidR="00635B98" w:rsidRPr="00635B98" w:rsidRDefault="00635B98" w:rsidP="00635B98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DB7A73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lastRenderedPageBreak/>
        <w:t>Блок</w:t>
      </w:r>
      <w:r w:rsidRPr="001737F4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 xml:space="preserve"> </w:t>
      </w:r>
      <w:r w:rsidR="007A520F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 xml:space="preserve">Таблица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  <w:lang w:val="en-US"/>
        </w:rPr>
        <w:t>KPI</w:t>
      </w:r>
    </w:p>
    <w:tbl>
      <w:tblPr>
        <w:tblW w:w="978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99"/>
        <w:gridCol w:w="2000"/>
        <w:gridCol w:w="2000"/>
        <w:gridCol w:w="2181"/>
      </w:tblGrid>
      <w:tr w:rsidR="001C1F1A" w14:paraId="650559D0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C31560" w14:textId="77777777" w:rsidR="001C1F1A" w:rsidRDefault="001C1F1A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Группа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17B8B2" w14:textId="77777777" w:rsidR="001C1F1A" w:rsidRDefault="001C1F1A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Метрика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415870A" w14:textId="77777777" w:rsidR="001C1F1A" w:rsidRDefault="001C1F1A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AS-IS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EA6692" w14:textId="77777777" w:rsidR="001C1F1A" w:rsidRDefault="001C1F1A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TO-BE (цель)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6DC402" w14:textId="77777777" w:rsidR="001C1F1A" w:rsidRDefault="001C1F1A" w:rsidP="009A62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Механика роста</w:t>
            </w:r>
          </w:p>
        </w:tc>
      </w:tr>
      <w:tr w:rsidR="001C1F1A" w14:paraId="2D742EDD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537FA5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Engagement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5492D1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DAU/MAU Ratio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912667" w14:textId="77777777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~25%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7B2C63" w14:textId="335031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~46%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62AC2D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Геймификация, прогресс-цели</w:t>
            </w:r>
          </w:p>
        </w:tc>
      </w:tr>
      <w:tr w:rsidR="001C1F1A" w14:paraId="525B37EB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369911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Engagement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9B17A4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Частота сессий/нед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E6A8B8" w14:textId="77777777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4–5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E3993F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6–8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7AF023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Задания, виджет накоплений</w:t>
            </w:r>
          </w:p>
        </w:tc>
      </w:tr>
      <w:tr w:rsidR="001C1F1A" w14:paraId="7F77DBD2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7D1DF9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Engagement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F386A4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Экранов за сессию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81095C" w14:textId="77777777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~3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50E8B7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~5–6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FC633D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Контекстные блоки тянут вглубь</w:t>
            </w:r>
          </w:p>
        </w:tc>
      </w:tr>
      <w:tr w:rsidR="001C1F1A" w14:paraId="2D519E20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390C83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Visibility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A1D5EF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Product Discovery Rate (кредиты)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98EB38" w14:textId="77777777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~12%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84A26E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~25–30%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581CB1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Контекстный показ на главном</w:t>
            </w:r>
          </w:p>
        </w:tc>
      </w:tr>
      <w:tr w:rsidR="001C1F1A" w14:paraId="05355FBE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2BF3CA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Conversion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344EC5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CTR оффера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BEB2DC" w14:textId="77777777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3–5%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E06CDA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8–12%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BCB33E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Релевантность = контекст</w:t>
            </w:r>
          </w:p>
        </w:tc>
      </w:tr>
      <w:tr w:rsidR="001C1F1A" w14:paraId="1BE7F046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A6A635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Conversion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432335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CR в заявку на продукт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AA8E14" w14:textId="77777777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1–2%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198FC6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3–4%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AD782B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Оффер в момент потребности</w:t>
            </w:r>
          </w:p>
        </w:tc>
      </w:tr>
      <w:tr w:rsidR="001C1F1A" w14:paraId="3972792F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F9816D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Retention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E6FDD4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Churn Rate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A46F94" w14:textId="0EE44458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~</w:t>
            </w:r>
            <w:r w:rsidR="00C603C4"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>2</w:t>
            </w:r>
            <w:r w:rsidR="00C16B05"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>8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595821" w14:textId="6CD38CB3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~</w:t>
            </w:r>
            <w:r w:rsidR="00C16B05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  <w:lang w:val="en-US"/>
              </w:rPr>
              <w:t>22</w:t>
            </w: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%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96E23F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Эмоциональная связь + полезность</w:t>
            </w:r>
          </w:p>
        </w:tc>
      </w:tr>
      <w:tr w:rsidR="001C1F1A" w14:paraId="0E3188FD" w14:textId="77777777" w:rsidTr="002E2CB6">
        <w:trPr>
          <w:trHeight w:val="683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9FC1EF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Financial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DFE110" w14:textId="5E5ACEB9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ARPU (₽/год)</w:t>
            </w:r>
            <w:r w:rsidR="002E2CB6"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 xml:space="preserve"> на клиента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CA0ABE" w14:textId="4E779B52" w:rsidR="00C16B05" w:rsidRPr="002E2CB6" w:rsidRDefault="001C1F1A" w:rsidP="009A620A">
            <w:pPr>
              <w:rPr>
                <w:rFonts w:ascii="Arial" w:eastAsia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~</w:t>
            </w:r>
            <w:r w:rsidR="00C603C4">
              <w:rPr>
                <w:rFonts w:ascii="Arial" w:eastAsia="Arial" w:hAnsi="Arial" w:cs="Arial"/>
                <w:color w:val="222222"/>
                <w:sz w:val="21"/>
                <w:szCs w:val="21"/>
              </w:rPr>
              <w:t>53</w:t>
            </w:r>
            <w:r w:rsidR="00C16B05">
              <w:rPr>
                <w:rFonts w:ascii="Arial" w:eastAsia="Arial" w:hAnsi="Arial" w:cs="Arial"/>
                <w:color w:val="222222"/>
                <w:sz w:val="21"/>
                <w:szCs w:val="21"/>
                <w:lang w:val="en-US"/>
              </w:rPr>
              <w:t xml:space="preserve"> </w:t>
            </w:r>
            <w:r w:rsidR="00C603C4"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750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0ACC08" w14:textId="318A6EDC" w:rsidR="00C16B05" w:rsidRPr="002E2CB6" w:rsidRDefault="001C1F1A" w:rsidP="009A620A">
            <w:pP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~</w:t>
            </w:r>
            <w:r w:rsidR="00C603C4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61</w:t>
            </w:r>
            <w:r w:rsidR="00C16B05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  <w:lang w:val="en-US"/>
              </w:rPr>
              <w:t xml:space="preserve"> </w:t>
            </w:r>
            <w:r w:rsidR="00C603C4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812 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41FA70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Рост продуктовой глубины</w:t>
            </w:r>
          </w:p>
        </w:tc>
      </w:tr>
      <w:tr w:rsidR="001C1F1A" w14:paraId="6F3B3FDF" w14:textId="77777777" w:rsidTr="003A61E8"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06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61046A" w14:textId="7777777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Financial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F31A52" w14:textId="7FE247A7" w:rsidR="001C1F1A" w:rsidRDefault="001C1F1A" w:rsidP="009A620A">
            <w:r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CLV (3 года)</w:t>
            </w:r>
            <w:r w:rsidR="002E2CB6"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 xml:space="preserve">, </w:t>
            </w:r>
            <w:r w:rsidR="002E2CB6">
              <w:rPr>
                <w:rFonts w:ascii="Arial" w:eastAsia="Arial" w:hAnsi="Arial" w:cs="Arial"/>
                <w:b/>
                <w:bCs/>
                <w:color w:val="006064"/>
                <w:sz w:val="21"/>
                <w:szCs w:val="21"/>
              </w:rPr>
              <w:t>₽/ на клиента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457E06" w14:textId="0C080DC0" w:rsidR="001C1F1A" w:rsidRDefault="001C1F1A" w:rsidP="009A620A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~</w:t>
            </w:r>
            <w:r w:rsidR="000828D6" w:rsidRPr="000828D6">
              <w:rPr>
                <w:rFonts w:ascii="Arial" w:eastAsia="Arial" w:hAnsi="Arial" w:cs="Arial"/>
                <w:color w:val="222222"/>
                <w:sz w:val="21"/>
                <w:szCs w:val="21"/>
              </w:rPr>
              <w:t>127</w:t>
            </w:r>
            <w:r w:rsidR="000828D6"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</w:t>
            </w:r>
            <w:r w:rsidR="000828D6" w:rsidRPr="000828D6">
              <w:rPr>
                <w:rFonts w:ascii="Arial" w:eastAsia="Arial" w:hAnsi="Arial" w:cs="Arial"/>
                <w:color w:val="222222"/>
                <w:sz w:val="21"/>
                <w:szCs w:val="21"/>
              </w:rPr>
              <w:t>032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009BE6" w14:textId="014C8C78" w:rsidR="001C1F1A" w:rsidRDefault="001C1F1A" w:rsidP="009A620A"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~</w:t>
            </w:r>
            <w:r w:rsidR="00C16B05" w:rsidRPr="00C16B05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158</w:t>
            </w:r>
            <w:r w:rsidR="00C16B05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</w:t>
            </w:r>
            <w:r w:rsidR="00C16B05" w:rsidRPr="00C16B05"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761</w:t>
            </w:r>
          </w:p>
        </w:tc>
        <w:tc>
          <w:tcPr>
            <w:tcW w:w="2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6999B9" w14:textId="77777777" w:rsidR="001C1F1A" w:rsidRDefault="001C1F1A" w:rsidP="009A620A"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>Рост ARPU + снижение оттока</w:t>
            </w:r>
          </w:p>
        </w:tc>
      </w:tr>
    </w:tbl>
    <w:p w14:paraId="1C05EFDA" w14:textId="237BB142" w:rsidR="003A20AF" w:rsidRDefault="003A20AF" w:rsidP="0040178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4BEEB7" w14:textId="77777777" w:rsidR="007A520F" w:rsidRPr="003A20AF" w:rsidRDefault="007A520F" w:rsidP="0040178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A520F" w:rsidRPr="003A2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EA"/>
    <w:rsid w:val="000828D6"/>
    <w:rsid w:val="000A0F46"/>
    <w:rsid w:val="001737F4"/>
    <w:rsid w:val="00194280"/>
    <w:rsid w:val="001C1F1A"/>
    <w:rsid w:val="00284EDD"/>
    <w:rsid w:val="002C1BEE"/>
    <w:rsid w:val="002E2CB6"/>
    <w:rsid w:val="002F1895"/>
    <w:rsid w:val="00383C0C"/>
    <w:rsid w:val="003A20AF"/>
    <w:rsid w:val="003A61E8"/>
    <w:rsid w:val="003C1FC8"/>
    <w:rsid w:val="00401784"/>
    <w:rsid w:val="00430B8D"/>
    <w:rsid w:val="00517262"/>
    <w:rsid w:val="006347D5"/>
    <w:rsid w:val="00635B98"/>
    <w:rsid w:val="006C0BA9"/>
    <w:rsid w:val="007A520F"/>
    <w:rsid w:val="009272E4"/>
    <w:rsid w:val="00933B19"/>
    <w:rsid w:val="00974ABA"/>
    <w:rsid w:val="009B19FE"/>
    <w:rsid w:val="00B81012"/>
    <w:rsid w:val="00C16B05"/>
    <w:rsid w:val="00C603C4"/>
    <w:rsid w:val="00D52A75"/>
    <w:rsid w:val="00DB7A73"/>
    <w:rsid w:val="00DD09D9"/>
    <w:rsid w:val="00DF23C3"/>
    <w:rsid w:val="00E031C0"/>
    <w:rsid w:val="00EF21EA"/>
    <w:rsid w:val="00EF3050"/>
    <w:rsid w:val="00F80ECF"/>
    <w:rsid w:val="00F86356"/>
    <w:rsid w:val="00F9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2167"/>
  <w15:chartTrackingRefBased/>
  <w15:docId w15:val="{F7385A8E-CC24-419E-9B28-658CE0FD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B98"/>
  </w:style>
  <w:style w:type="paragraph" w:styleId="2">
    <w:name w:val="heading 2"/>
    <w:basedOn w:val="a"/>
    <w:next w:val="a"/>
    <w:link w:val="20"/>
    <w:uiPriority w:val="9"/>
    <w:unhideWhenUsed/>
    <w:qFormat/>
    <w:rsid w:val="00E031C0"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1"/>
    </w:pPr>
    <w:rPr>
      <w:rFonts w:ascii="Arial" w:eastAsia="Arial" w:hAnsi="Arial" w:cs="Arial"/>
      <w:b/>
      <w:bCs/>
      <w:color w:val="006064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7A7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7A7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B7A7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031C0"/>
    <w:rPr>
      <w:rFonts w:ascii="Arial" w:eastAsia="Arial" w:hAnsi="Arial" w:cs="Arial"/>
      <w:b/>
      <w:bCs/>
      <w:color w:val="006064"/>
      <w:sz w:val="28"/>
      <w:szCs w:val="28"/>
      <w:lang w:eastAsia="ru-RU"/>
    </w:rPr>
  </w:style>
  <w:style w:type="table" w:styleId="a6">
    <w:name w:val="Table Grid"/>
    <w:basedOn w:val="a1"/>
    <w:uiPriority w:val="39"/>
    <w:rsid w:val="0040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35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0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tbank.ru/static/documents/2bc325e2-8b0d-4c70-94c1-274702ef03d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nta.ru/news/2025/12/10/sber-predstavil-servisy-dom-i-avto-dlya-upravleniya-nedvizhimostyu-i-avtomobilyam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otpbank.ru/about/akcyy/last_year_reports/docs/GO2024new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berbank.com/ru/investor-relations/groupresults/ifrs_results_for_the_3rd_quarter9oc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myseldon.com/ru/news/index/26795223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77628-9228-4DE9-BBF5-1B223C700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4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 Kris</dc:creator>
  <cp:keywords/>
  <dc:description/>
  <cp:lastModifiedBy>User</cp:lastModifiedBy>
  <cp:revision>8</cp:revision>
  <dcterms:created xsi:type="dcterms:W3CDTF">2026-03-13T15:19:00Z</dcterms:created>
  <dcterms:modified xsi:type="dcterms:W3CDTF">2026-03-15T15:02:00Z</dcterms:modified>
</cp:coreProperties>
</file>