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Advisory Board - meeting notes, March 2026</w:t>
      </w:r>
    </w:p>
    <w:p>
      <w:r>
        <w:t>Meetings of 5 March and 11 March 2026. Chair: Marta Silva (Head of Engineering). Notes: Daniel Okafor.</w:t>
      </w:r>
    </w:p>
    <w:p>
      <w:pPr>
        <w:pStyle w:val="Heading2"/>
      </w:pPr>
      <w:r>
        <w:t>5 March 2026</w:t>
      </w:r>
    </w:p>
    <w:p>
      <w:r>
        <w:t>CHG-0412, payments-api v4.2: shorter idempotency-key TTL, from 24 hours to 10 minutes. Reason: Redis memory pressure in February. The Payments team said that clients rarely reuse a key after a few minutes. Rated low risk. Approved for 9 March.</w:t>
      </w:r>
    </w:p>
    <w:p>
      <w:pPr>
        <w:pStyle w:val="Heading2"/>
      </w:pPr>
      <w:r>
        <w:t>11 March 2026</w:t>
      </w:r>
    </w:p>
    <w:p>
      <w:r>
        <w:t>CHG-0415, api-gateway: per-merchant rate limit from 50 to 80 requests per second. Approved for 12 March.</w:t>
      </w:r>
    </w:p>
    <w:p>
      <w:r>
        <w:t>CHG-0419, fraud-scorer model v7. The Fraud team showed better fraud detection in offline tests and a load test at night-time traffic with a p99 latency of 310 ms. Rated medium risk because it changes blocking decisions. Approved for 17 March, deployment after 18:00 UTC.</w:t>
      </w:r>
    </w:p>
    <w:p>
      <w:pPr>
        <w:pStyle w:val="Heading2"/>
      </w:pPr>
      <w:r>
        <w:t>Follow-up added on 25 March 2026</w:t>
      </w:r>
    </w:p>
    <w:p>
      <w:r>
        <w:t>After INC-2026-031, CAB requires a load test at peak traffic for every fraud-scorer model and a check of client retry behaviour for every idempotency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Advisory Board Notes - March 2026</dc:title>
  <dc:subject/>
  <dc:creator>Daniel Okafor</dc:creator>
  <cp:keywords/>
  <dc:description>generated by python-docx</dc:description>
  <cp:lastModifiedBy/>
  <cp:revision>1</cp:revision>
  <dcterms:created xsi:type="dcterms:W3CDTF">2026-03-11T00:00:00Z</dcterms:created>
  <dcterms:modified xsi:type="dcterms:W3CDTF">2013-12-23T23:15:00Z</dcterms:modified>
  <cp:category/>
</cp:coreProperties>
</file>