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F031" w14:textId="77777777" w:rsidR="00D956D3" w:rsidRPr="00B0096B" w:rsidRDefault="00000000">
      <w:pPr>
        <w:spacing w:before="1400" w:after="100"/>
        <w:jc w:val="center"/>
        <w:rPr>
          <w:b/>
          <w:bCs/>
        </w:rPr>
      </w:pPr>
      <w:r w:rsidRPr="00B0096B">
        <w:rPr>
          <w:b/>
          <w:bCs/>
          <w:color w:val="1F4E5F"/>
          <w:sz w:val="44"/>
          <w:szCs w:val="44"/>
        </w:rPr>
        <w:t>Legionella / Pseudomonas Biofilm Risk</w:t>
      </w:r>
    </w:p>
    <w:p w14:paraId="17F15C3F" w14:textId="10454B7D" w:rsidR="00D956D3" w:rsidRPr="00B0096B" w:rsidRDefault="00B0096B">
      <w:pPr>
        <w:spacing w:after="400"/>
        <w:jc w:val="center"/>
        <w:rPr>
          <w:b/>
          <w:bCs/>
        </w:rPr>
      </w:pPr>
      <w:r w:rsidRPr="00B0096B">
        <w:rPr>
          <w:b/>
          <w:bCs/>
          <w:color w:val="1F4E5F"/>
          <w:sz w:val="44"/>
          <w:szCs w:val="44"/>
        </w:rPr>
        <w:t>Modelling in Water Distribution Networks</w:t>
      </w:r>
      <w:r w:rsidR="00B71419">
        <w:rPr>
          <w:b/>
          <w:bCs/>
          <w:color w:val="1F4E5F"/>
          <w:sz w:val="44"/>
          <w:szCs w:val="44"/>
        </w:rPr>
        <w:t xml:space="preserve"> using EPANET</w:t>
      </w:r>
    </w:p>
    <w:p w14:paraId="216CAB90" w14:textId="77777777" w:rsidR="00D956D3" w:rsidRPr="00B0096B" w:rsidRDefault="00000000">
      <w:pPr>
        <w:spacing w:after="100"/>
        <w:jc w:val="center"/>
      </w:pPr>
      <w:r w:rsidRPr="00B0096B">
        <w:rPr>
          <w:i/>
          <w:iCs/>
          <w:sz w:val="26"/>
          <w:szCs w:val="26"/>
        </w:rPr>
        <w:t>A reactive-transport and global sensitivity analysis study</w:t>
      </w:r>
    </w:p>
    <w:p w14:paraId="53F16F05" w14:textId="77777777" w:rsidR="00D956D3" w:rsidRDefault="00D956D3">
      <w:pPr>
        <w:spacing w:after="800"/>
      </w:pPr>
    </w:p>
    <w:p w14:paraId="703CF891" w14:textId="77777777" w:rsidR="00D956D3" w:rsidRPr="00B0096B" w:rsidRDefault="00000000">
      <w:pPr>
        <w:spacing w:after="40"/>
        <w:jc w:val="center"/>
      </w:pPr>
      <w:r w:rsidRPr="00B0096B">
        <w:rPr>
          <w:b/>
          <w:bCs/>
          <w:sz w:val="24"/>
          <w:szCs w:val="24"/>
        </w:rPr>
        <w:t>Nikassh Bala PB</w:t>
      </w:r>
    </w:p>
    <w:p w14:paraId="6E18C623" w14:textId="3761E054" w:rsidR="00D956D3" w:rsidRPr="00B0096B" w:rsidRDefault="00000000">
      <w:pPr>
        <w:spacing w:after="40"/>
        <w:jc w:val="center"/>
      </w:pPr>
      <w:r w:rsidRPr="00B0096B">
        <w:t>Final-Year B</w:t>
      </w:r>
      <w:r w:rsidR="00695890" w:rsidRPr="00B0096B">
        <w:t xml:space="preserve">achelor of </w:t>
      </w:r>
      <w:r w:rsidRPr="00B0096B">
        <w:t>Tech</w:t>
      </w:r>
      <w:r w:rsidR="00695890" w:rsidRPr="00B0096B">
        <w:t>nology in</w:t>
      </w:r>
      <w:r w:rsidRPr="00B0096B">
        <w:t xml:space="preserve"> Biotechnology, Karpagam Academy of Higher Education</w:t>
      </w:r>
    </w:p>
    <w:p w14:paraId="47762978" w14:textId="67E0AC40" w:rsidR="00D956D3" w:rsidRPr="00B0096B" w:rsidRDefault="00000000">
      <w:pPr>
        <w:spacing w:after="40"/>
        <w:jc w:val="center"/>
      </w:pPr>
      <w:r w:rsidRPr="00B0096B">
        <w:t xml:space="preserve">Member, ISO/TC 207 Youth Leadership Group </w:t>
      </w:r>
      <w:r w:rsidR="00695890" w:rsidRPr="00B0096B">
        <w:t xml:space="preserve">alumni </w:t>
      </w:r>
    </w:p>
    <w:p w14:paraId="1B21CB12" w14:textId="77777777" w:rsidR="00D956D3" w:rsidRPr="00B0096B" w:rsidRDefault="00000000">
      <w:pPr>
        <w:spacing w:after="40"/>
        <w:jc w:val="center"/>
      </w:pPr>
      <w:r w:rsidRPr="00B0096B">
        <w:rPr>
          <w:color w:val="2E86AB"/>
          <w:sz w:val="18"/>
          <w:szCs w:val="18"/>
        </w:rPr>
        <w:t>Project repository: github.com/Nikassh/legionella-biofilm-</w:t>
      </w:r>
      <w:proofErr w:type="spellStart"/>
      <w:r w:rsidRPr="00B0096B">
        <w:rPr>
          <w:color w:val="2E86AB"/>
          <w:sz w:val="18"/>
          <w:szCs w:val="18"/>
        </w:rPr>
        <w:t>msx</w:t>
      </w:r>
      <w:proofErr w:type="spellEnd"/>
      <w:r w:rsidRPr="00B0096B">
        <w:rPr>
          <w:color w:val="2E86AB"/>
          <w:sz w:val="18"/>
          <w:szCs w:val="18"/>
        </w:rPr>
        <w:t>-model</w:t>
      </w:r>
    </w:p>
    <w:p w14:paraId="7A782948" w14:textId="77777777" w:rsidR="00D956D3" w:rsidRDefault="00000000">
      <w:r>
        <w:br w:type="page"/>
      </w:r>
    </w:p>
    <w:p w14:paraId="6ED4B4C0" w14:textId="77777777" w:rsidR="00D956D3" w:rsidRDefault="00000000">
      <w:pPr>
        <w:pStyle w:val="Heading1"/>
        <w:pBdr>
          <w:bottom w:val="single" w:sz="6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1. Why This Work Matters</w:t>
      </w:r>
    </w:p>
    <w:p w14:paraId="712724DB" w14:textId="77777777" w:rsidR="00D956D3" w:rsidRDefault="00000000" w:rsidP="00695890">
      <w:pPr>
        <w:spacing w:after="180" w:line="300" w:lineRule="auto"/>
        <w:jc w:val="both"/>
      </w:pPr>
      <w:r>
        <w:rPr>
          <w:sz w:val="22"/>
          <w:szCs w:val="22"/>
        </w:rPr>
        <w:t>Legionella pneumophila and Pseudomonas aeruginosa are “opportunistic pathogens” that live naturally in drinking water and premise plumbing systems. They rarely cause problems in fast-moving, well-disinfected water — but in stagnant pipes, dead-end zones, or areas where chlorine has decayed, they can grow inside biofilms (thin microbial layers that coat pipe walls) and eventually cause outbreaks of Legionnaires’ disease.</w:t>
      </w:r>
    </w:p>
    <w:p w14:paraId="05BDD02F" w14:textId="77777777" w:rsidR="00D956D3" w:rsidRDefault="00000000" w:rsidP="00695890">
      <w:pPr>
        <w:spacing w:after="180" w:line="300" w:lineRule="auto"/>
        <w:jc w:val="both"/>
      </w:pPr>
      <w:r>
        <w:rPr>
          <w:sz w:val="22"/>
          <w:szCs w:val="22"/>
        </w:rPr>
        <w:t>Water utilities already know that growth rate, nutrient availability, and disinfectant residual all influence pathogen survival. What is usually missing is a quantitative answer to the question every risk manager actually needs: of all these factors, which one should we control first if we want to reduce risk the most?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5"/>
      </w:tblGrid>
      <w:tr w:rsidR="00D956D3" w14:paraId="0A883FE8" w14:textId="77777777">
        <w:tc>
          <w:tcPr>
            <w:tcW w:w="0" w:type="auto"/>
            <w:tcBorders>
              <w:top w:val="single" w:sz="4" w:space="0" w:color="1F4E5F"/>
              <w:left w:val="single" w:sz="24" w:space="0" w:color="1F4E5F"/>
              <w:bottom w:val="single" w:sz="4" w:space="0" w:color="1F4E5F"/>
              <w:right w:val="single" w:sz="4" w:space="0" w:color="1F4E5F"/>
            </w:tcBorders>
            <w:shd w:val="clear" w:color="auto" w:fill="EAF3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E860D5" w14:textId="77777777" w:rsidR="00D956D3" w:rsidRDefault="00000000">
            <w:pPr>
              <w:spacing w:after="80"/>
            </w:pPr>
            <w:r>
              <w:rPr>
                <w:b/>
                <w:bCs/>
                <w:color w:val="1F4E5F"/>
                <w:sz w:val="22"/>
                <w:szCs w:val="22"/>
              </w:rPr>
              <w:t>The problem this project addresses</w:t>
            </w:r>
          </w:p>
          <w:p w14:paraId="36D7A957" w14:textId="77777777" w:rsidR="00D956D3" w:rsidRDefault="00000000">
            <w:r>
              <w:rPr>
                <w:sz w:val="21"/>
                <w:szCs w:val="21"/>
              </w:rPr>
              <w:t>Rather than assuming which lever matters most, this project builds a computational model of a real water network and uses it to test all major biological and operational factors at once — then ranks them by how much each one actually controls pathogen persistence.</w:t>
            </w:r>
          </w:p>
        </w:tc>
      </w:tr>
    </w:tbl>
    <w:p w14:paraId="28085DD5" w14:textId="7132F83D" w:rsidR="00D956D3" w:rsidRDefault="00000000">
      <w:pPr>
        <w:pStyle w:val="Heading1"/>
        <w:pBdr>
          <w:bottom w:val="single" w:sz="6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t xml:space="preserve">2. What Was Built </w:t>
      </w:r>
    </w:p>
    <w:p w14:paraId="640470D8" w14:textId="77777777" w:rsidR="00D956D3" w:rsidRDefault="00000000">
      <w:pPr>
        <w:spacing w:after="180" w:line="300" w:lineRule="auto"/>
      </w:pPr>
      <w:r>
        <w:rPr>
          <w:sz w:val="22"/>
          <w:szCs w:val="22"/>
        </w:rPr>
        <w:t>The project is a computer simulation of pathogen behaviour inside a drinking water distribution network. It combines three ingredients:</w:t>
      </w:r>
    </w:p>
    <w:p w14:paraId="1969FEB7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A real pipe network (Net3, a standard U.S. EPA benchmark distribution system) with realistic hydraulics — flows, tanks, reservoirs, and pipes.</w:t>
      </w:r>
    </w:p>
    <w:p w14:paraId="125D69B5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A chemistry and biology model describing how organic matter, chlorine, and bacteria interact as water moves through the pipes and sits in tanks.</w:t>
      </w:r>
    </w:p>
    <w:p w14:paraId="24ACF336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A systematic “what-if” testing method (global sensitivity analysis) that runs the simulation over 100+ times with different parameter combinations to see which ones move the outcome the most.</w:t>
      </w:r>
    </w:p>
    <w:p w14:paraId="4B900977" w14:textId="6FC80A19" w:rsidR="005E6761" w:rsidRPr="005E6761" w:rsidRDefault="00000000">
      <w:pPr>
        <w:spacing w:after="180" w:line="300" w:lineRule="auto"/>
        <w:rPr>
          <w:sz w:val="22"/>
          <w:szCs w:val="22"/>
        </w:rPr>
      </w:pPr>
      <w:r>
        <w:rPr>
          <w:sz w:val="22"/>
          <w:szCs w:val="22"/>
        </w:rPr>
        <w:t xml:space="preserve">This was built using EPANET-MSX (the EPA's multi-species water-quality solver), accessed through a Python toolkit called WNTR, with SALib used to design and </w:t>
      </w:r>
      <w:r w:rsidR="00695890">
        <w:rPr>
          <w:sz w:val="22"/>
          <w:szCs w:val="22"/>
        </w:rPr>
        <w:t>analyse</w:t>
      </w:r>
      <w:r>
        <w:rPr>
          <w:sz w:val="22"/>
          <w:szCs w:val="22"/>
        </w:rPr>
        <w:t xml:space="preserve"> the sensitivity experiments.</w:t>
      </w:r>
    </w:p>
    <w:p w14:paraId="537E4B86" w14:textId="77777777" w:rsidR="00D956D3" w:rsidRDefault="00000000">
      <w:pPr>
        <w:pStyle w:val="Heading2"/>
        <w:spacing w:before="280" w:after="120"/>
      </w:pPr>
      <w:r>
        <w:rPr>
          <w:b/>
          <w:bCs/>
          <w:color w:val="2E86AB"/>
          <w:sz w:val="24"/>
          <w:szCs w:val="24"/>
        </w:rPr>
        <w:t>2.1 The Network Used</w:t>
      </w:r>
    </w:p>
    <w:p w14:paraId="2F242F2B" w14:textId="173550D9" w:rsidR="00D956D3" w:rsidRDefault="00000000">
      <w:pPr>
        <w:spacing w:after="180" w:line="300" w:lineRule="auto"/>
      </w:pPr>
      <w:r>
        <w:rPr>
          <w:sz w:val="22"/>
          <w:szCs w:val="22"/>
        </w:rPr>
        <w:t xml:space="preserve">Net3 is a benchmark drinking water distribution network used widely in water-quality research. It has two water sources (a Lake and a River, each with different organic matter levels), storage tanks, and a branching network of pipes that supply the </w:t>
      </w:r>
      <w:r w:rsidR="00695890">
        <w:rPr>
          <w:sz w:val="22"/>
          <w:szCs w:val="22"/>
        </w:rPr>
        <w:t>modelled</w:t>
      </w:r>
      <w:r>
        <w:rPr>
          <w:sz w:val="22"/>
          <w:szCs w:val="22"/>
        </w:rPr>
        <w:t xml:space="preserve"> service area.</w:t>
      </w:r>
    </w:p>
    <w:p w14:paraId="1A325625" w14:textId="77777777" w:rsidR="00D956D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BA63F75" wp14:editId="13DD650A">
            <wp:extent cx="4752975" cy="3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94E6" w14:textId="77777777" w:rsidR="00D956D3" w:rsidRPr="005E6761" w:rsidRDefault="00000000">
      <w:pPr>
        <w:spacing w:after="300"/>
        <w:jc w:val="center"/>
      </w:pPr>
      <w:r w:rsidRPr="005E6761">
        <w:rPr>
          <w:i/>
          <w:iCs/>
          <w:sz w:val="19"/>
          <w:szCs w:val="19"/>
        </w:rPr>
        <w:t>Figure 1. Topology of the Net3 water distribution network used for this study — nodes are junctions/tanks, lines are pipes.</w:t>
      </w:r>
    </w:p>
    <w:p w14:paraId="0E9FEBA9" w14:textId="77777777" w:rsidR="00D956D3" w:rsidRDefault="00000000">
      <w:pPr>
        <w:pStyle w:val="Heading2"/>
        <w:spacing w:before="280" w:after="120"/>
      </w:pPr>
      <w:r>
        <w:rPr>
          <w:b/>
          <w:bCs/>
          <w:color w:val="2E86AB"/>
          <w:sz w:val="24"/>
          <w:szCs w:val="24"/>
        </w:rPr>
        <w:t>2.2 The Biology, Simply</w:t>
      </w:r>
    </w:p>
    <w:p w14:paraId="28207D66" w14:textId="77777777" w:rsidR="00D956D3" w:rsidRDefault="00000000">
      <w:pPr>
        <w:spacing w:after="180" w:line="300" w:lineRule="auto"/>
      </w:pPr>
      <w:r>
        <w:rPr>
          <w:sz w:val="22"/>
          <w:szCs w:val="22"/>
        </w:rPr>
        <w:t>The model tracks two “populations” of the same bacteria as water flows through each pipe:</w:t>
      </w:r>
    </w:p>
    <w:p w14:paraId="01778514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Free-floating (suspended) bacteria — carried along in the bulk water.</w:t>
      </w:r>
    </w:p>
    <w:p w14:paraId="61390DA1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Biofilm-attached bacteria — stuck to the inside pipe wall, protected inside a biofilm layer.</w:t>
      </w:r>
    </w:p>
    <w:p w14:paraId="64CCD0A0" w14:textId="77777777" w:rsidR="00D956D3" w:rsidRDefault="00000000" w:rsidP="00695890">
      <w:pPr>
        <w:spacing w:after="180" w:line="300" w:lineRule="auto"/>
        <w:jc w:val="both"/>
      </w:pPr>
      <w:r>
        <w:rPr>
          <w:sz w:val="22"/>
          <w:szCs w:val="22"/>
        </w:rPr>
        <w:t>Bacteria move between these two states — free cells can deposit onto the wall and join the biofilm, and biofilm cells can detach and re-enter the water. Both populations grow when nutrients (organic matter from the source water) are available, and both are killed off by chlorine, though wall-protected biofilm bacteria are typically harder to reach with disinfectant than free-floating cells. Six kinetic factors control the balance:</w:t>
      </w:r>
    </w:p>
    <w:p w14:paraId="206C6816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Growth rate — how fast the bacteria multiply when nutrients are available</w:t>
      </w:r>
    </w:p>
    <w:p w14:paraId="79E1E549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Nutrient half-saturation — how nutrient-limited growth is</w:t>
      </w:r>
    </w:p>
    <w:p w14:paraId="6A2624CB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Chlorine inactivation rate — how effectively chlorine kills the bacteria</w:t>
      </w:r>
    </w:p>
    <w:p w14:paraId="545E6293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Wall deposition rate — how readily free bacteria stick to pipe walls</w:t>
      </w:r>
    </w:p>
    <w:p w14:paraId="3B28FA9C" w14:textId="7905398C" w:rsidR="00C32500" w:rsidRDefault="00000000" w:rsidP="00C325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Detachment rate — how readily biofilm bacteria break free back into the water</w:t>
      </w:r>
    </w:p>
    <w:p w14:paraId="31F84487" w14:textId="77777777" w:rsidR="00D956D3" w:rsidRPr="00C32500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Yield — how efficiently deposited bacteria convert into biofilm biomass</w:t>
      </w:r>
    </w:p>
    <w:p w14:paraId="67EF521C" w14:textId="77777777" w:rsidR="00C32500" w:rsidRDefault="00C32500" w:rsidP="00C32500">
      <w:pPr>
        <w:pStyle w:val="ListParagraph"/>
        <w:spacing w:after="100" w:line="280" w:lineRule="auto"/>
        <w:ind w:left="504"/>
        <w:rPr>
          <w:sz w:val="22"/>
          <w:szCs w:val="22"/>
        </w:rPr>
      </w:pPr>
    </w:p>
    <w:p w14:paraId="70C59F44" w14:textId="77777777" w:rsidR="00C32500" w:rsidRDefault="00C32500" w:rsidP="00C32500">
      <w:pPr>
        <w:pStyle w:val="ListParagraph"/>
        <w:spacing w:after="100" w:line="280" w:lineRule="auto"/>
        <w:ind w:left="504"/>
        <w:rPr>
          <w:sz w:val="22"/>
          <w:szCs w:val="22"/>
        </w:rPr>
      </w:pPr>
    </w:p>
    <w:p w14:paraId="76CA3721" w14:textId="77777777" w:rsidR="00C32500" w:rsidRDefault="00C32500" w:rsidP="00C32500">
      <w:pPr>
        <w:pStyle w:val="ListParagraph"/>
        <w:spacing w:after="100" w:line="280" w:lineRule="auto"/>
        <w:ind w:left="504"/>
      </w:pPr>
    </w:p>
    <w:p w14:paraId="1C69C3DD" w14:textId="77777777" w:rsidR="00D956D3" w:rsidRDefault="00000000">
      <w:pPr>
        <w:pStyle w:val="Heading1"/>
        <w:pBdr>
          <w:bottom w:val="single" w:sz="6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3. Results</w:t>
      </w:r>
    </w:p>
    <w:p w14:paraId="208BC071" w14:textId="2E73468F" w:rsidR="00D956D3" w:rsidRDefault="00000000">
      <w:pPr>
        <w:pStyle w:val="Heading2"/>
        <w:spacing w:before="280" w:after="120"/>
      </w:pPr>
      <w:r>
        <w:rPr>
          <w:b/>
          <w:bCs/>
          <w:color w:val="2E86AB"/>
          <w:sz w:val="24"/>
          <w:szCs w:val="24"/>
        </w:rPr>
        <w:t>3.1 Proving the Pipeline Works (Baseline Validation)</w:t>
      </w:r>
    </w:p>
    <w:p w14:paraId="2C6269A5" w14:textId="59374DB2" w:rsidR="00D956D3" w:rsidRDefault="00000000" w:rsidP="00695890">
      <w:pPr>
        <w:spacing w:after="18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Before adding any biology, the chlorine-decay chemistry alone was validated: chlorine from the </w:t>
      </w:r>
      <w:r w:rsidR="00695890">
        <w:rPr>
          <w:sz w:val="22"/>
          <w:szCs w:val="22"/>
        </w:rPr>
        <w:t>l</w:t>
      </w:r>
      <w:r>
        <w:rPr>
          <w:sz w:val="22"/>
          <w:szCs w:val="22"/>
        </w:rPr>
        <w:t xml:space="preserve">ake and </w:t>
      </w:r>
      <w:r w:rsidR="00695890">
        <w:rPr>
          <w:sz w:val="22"/>
          <w:szCs w:val="22"/>
        </w:rPr>
        <w:t>r</w:t>
      </w:r>
      <w:r>
        <w:rPr>
          <w:sz w:val="22"/>
          <w:szCs w:val="22"/>
        </w:rPr>
        <w:t xml:space="preserve">iver sources decays at different, source-dependent rates as it reacts with each source's own organic matter while traveling through the network. This is a well-established, literature-matched behaviour, and confirming it first ensures that any biological results that follow are built on a correct chemical/hydraulic foundation, not a </w:t>
      </w:r>
      <w:r w:rsidR="00695890">
        <w:rPr>
          <w:sz w:val="22"/>
          <w:szCs w:val="22"/>
        </w:rPr>
        <w:t>modelling</w:t>
      </w:r>
      <w:r>
        <w:rPr>
          <w:sz w:val="22"/>
          <w:szCs w:val="22"/>
        </w:rPr>
        <w:t xml:space="preserve"> artifact.</w:t>
      </w:r>
    </w:p>
    <w:p w14:paraId="1AE25087" w14:textId="77777777" w:rsidR="00C32500" w:rsidRDefault="00C32500" w:rsidP="00695890">
      <w:pPr>
        <w:spacing w:after="180" w:line="300" w:lineRule="auto"/>
        <w:jc w:val="both"/>
      </w:pPr>
    </w:p>
    <w:p w14:paraId="567BBA6E" w14:textId="77777777" w:rsidR="00D956D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79FBF0" wp14:editId="75C2EEB7">
            <wp:extent cx="4610100" cy="3914775"/>
            <wp:effectExtent l="0" t="0" r="0" b="0"/>
            <wp:docPr id="79969090" name="Picture 79969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DF7B" w14:textId="77777777" w:rsidR="00D956D3" w:rsidRPr="00C32500" w:rsidRDefault="00000000">
      <w:pPr>
        <w:spacing w:after="300"/>
        <w:jc w:val="center"/>
      </w:pPr>
      <w:r w:rsidRPr="00C32500">
        <w:rPr>
          <w:i/>
          <w:iCs/>
          <w:sz w:val="19"/>
          <w:szCs w:val="19"/>
        </w:rPr>
        <w:t>Figure 2. Simulated chlorine concentration across the network 6 hours in — warmer colours (near the Lake/River sources) show higher residual chlorine; cooler colours show it has decayed further downstream.</w:t>
      </w:r>
    </w:p>
    <w:p w14:paraId="391E88B6" w14:textId="636F91FF" w:rsidR="00C32500" w:rsidRDefault="00000000">
      <w:pPr>
        <w:spacing w:after="180" w:line="300" w:lineRule="auto"/>
        <w:rPr>
          <w:sz w:val="22"/>
          <w:szCs w:val="22"/>
        </w:rPr>
      </w:pPr>
      <w:r>
        <w:rPr>
          <w:sz w:val="22"/>
          <w:szCs w:val="22"/>
        </w:rPr>
        <w:t>This map illustrates the core risk pattern intuitively: chlorine is strongest near the sources and weakens as water travels and ages through the network</w:t>
      </w:r>
      <w:r w:rsidR="00695890">
        <w:rPr>
          <w:sz w:val="22"/>
          <w:szCs w:val="22"/>
        </w:rPr>
        <w:t xml:space="preserve">, </w:t>
      </w:r>
      <w:r>
        <w:rPr>
          <w:sz w:val="22"/>
          <w:szCs w:val="22"/>
        </w:rPr>
        <w:t>exactly the kind of zone where pathogen growth becomes possible.</w:t>
      </w:r>
    </w:p>
    <w:p w14:paraId="316C9A96" w14:textId="77777777" w:rsidR="00C32500" w:rsidRPr="00C32500" w:rsidRDefault="00C32500">
      <w:pPr>
        <w:spacing w:after="180" w:line="300" w:lineRule="auto"/>
        <w:rPr>
          <w:sz w:val="22"/>
          <w:szCs w:val="22"/>
        </w:rPr>
      </w:pPr>
    </w:p>
    <w:p w14:paraId="245AFBF8" w14:textId="17669C2A" w:rsidR="00D956D3" w:rsidRDefault="00000000">
      <w:pPr>
        <w:pStyle w:val="Heading2"/>
        <w:spacing w:before="280" w:after="120"/>
      </w:pPr>
      <w:r>
        <w:rPr>
          <w:b/>
          <w:bCs/>
          <w:color w:val="2E86AB"/>
          <w:sz w:val="24"/>
          <w:szCs w:val="24"/>
        </w:rPr>
        <w:t>3.2 Where Does Pathogen Biomass Survive?</w:t>
      </w:r>
    </w:p>
    <w:p w14:paraId="51812419" w14:textId="77777777" w:rsidR="00D956D3" w:rsidRDefault="00000000">
      <w:pPr>
        <w:spacing w:after="180" w:line="300" w:lineRule="auto"/>
      </w:pPr>
      <w:r>
        <w:rPr>
          <w:sz w:val="22"/>
          <w:szCs w:val="22"/>
        </w:rPr>
        <w:t>With the biology model switched on, suspended pathogen biomass (</w:t>
      </w:r>
      <w:proofErr w:type="spellStart"/>
      <w:r>
        <w:rPr>
          <w:sz w:val="22"/>
          <w:szCs w:val="22"/>
        </w:rPr>
        <w:t>Xfree</w:t>
      </w:r>
      <w:proofErr w:type="spellEnd"/>
      <w:r>
        <w:rPr>
          <w:sz w:val="22"/>
          <w:szCs w:val="22"/>
        </w:rPr>
        <w:t>) was tracked across the whole network over a multi-day simulation, starting from a small uniform seed concentration everywhere.</w:t>
      </w:r>
    </w:p>
    <w:p w14:paraId="6252A61A" w14:textId="77777777" w:rsidR="00D956D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4CDC17" wp14:editId="69A430B3">
            <wp:extent cx="4752975" cy="3848100"/>
            <wp:effectExtent l="0" t="0" r="0" b="0"/>
            <wp:docPr id="648210688" name="Picture 648210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172D" w14:textId="77777777" w:rsidR="00D956D3" w:rsidRPr="00C32500" w:rsidRDefault="00000000">
      <w:pPr>
        <w:spacing w:after="300"/>
        <w:jc w:val="center"/>
      </w:pPr>
      <w:r w:rsidRPr="00C32500">
        <w:rPr>
          <w:i/>
          <w:iCs/>
          <w:sz w:val="19"/>
          <w:szCs w:val="19"/>
        </w:rPr>
        <w:t>Figure 3. Suspended pathogen biomass at the start of the simulation — seeded uniformly (low, near-baseline levels) across the network.</w:t>
      </w:r>
    </w:p>
    <w:p w14:paraId="7F74EA1E" w14:textId="77777777" w:rsidR="00D956D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AED34C4" wp14:editId="590E3910">
            <wp:extent cx="4752975" cy="3905250"/>
            <wp:effectExtent l="0" t="0" r="0" b="0"/>
            <wp:docPr id="1702534172" name="Picture 1702534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79C2" w14:textId="77777777" w:rsidR="00D956D3" w:rsidRPr="00C32500" w:rsidRDefault="00000000">
      <w:pPr>
        <w:spacing w:after="300"/>
        <w:jc w:val="center"/>
      </w:pPr>
      <w:r w:rsidRPr="00C32500">
        <w:rPr>
          <w:i/>
          <w:iCs/>
          <w:sz w:val="19"/>
          <w:szCs w:val="19"/>
        </w:rPr>
        <w:t>Figure 4. Suspended pathogen biomass after 60 hours — biomass has been driven to near zero almost everywhere except one low-flow corner near a source, where chlorine residual is weakest.</w:t>
      </w:r>
    </w:p>
    <w:p w14:paraId="01B9E0DF" w14:textId="77777777" w:rsidR="00D956D3" w:rsidRDefault="00000000" w:rsidP="00695890">
      <w:pPr>
        <w:spacing w:after="180" w:line="300" w:lineRule="auto"/>
        <w:jc w:val="both"/>
      </w:pPr>
      <w:r>
        <w:rPr>
          <w:sz w:val="22"/>
          <w:szCs w:val="22"/>
        </w:rPr>
        <w:lastRenderedPageBreak/>
        <w:t>The pattern is exactly what the disinfection theory predicts: everywhere chlorine residual is adequately maintained, the pathogen population collapses over time. The only place biomass persists is a corner of the network where flow and chlorine residual are both lowest — consistent with real-world findings that stagnant, low-disinfectant zones (dead ends, poorly circulated storage, premise plumbing) are the highest-risk locations for Legionella colonisation.</w:t>
      </w:r>
    </w:p>
    <w:p w14:paraId="52F472DF" w14:textId="5681C448" w:rsidR="00D956D3" w:rsidRDefault="00000000">
      <w:pPr>
        <w:pStyle w:val="Heading2"/>
        <w:spacing w:before="280" w:after="120"/>
      </w:pPr>
      <w:r>
        <w:rPr>
          <w:b/>
          <w:bCs/>
          <w:color w:val="2E86AB"/>
          <w:sz w:val="24"/>
          <w:szCs w:val="24"/>
        </w:rPr>
        <w:t>3.3 Which Factor Actually Controls the Outcome?</w:t>
      </w:r>
    </w:p>
    <w:p w14:paraId="06E7C722" w14:textId="77777777" w:rsidR="00D956D3" w:rsidRDefault="00000000">
      <w:pPr>
        <w:spacing w:after="180" w:line="300" w:lineRule="auto"/>
      </w:pPr>
      <w:r>
        <w:rPr>
          <w:sz w:val="22"/>
          <w:szCs w:val="22"/>
        </w:rPr>
        <w:t>To move beyond a single scenario, 112 full simulations were run, each with a different random combination of the six kinetic parameters (drawn using Sobol sampling, a structured sampling method used for global sensitivity analysis). A statistical method (Sobol sensitivity analysis) was then used to attribute how much of the variation in final pathogen biomass each parameter was responsible for.</w:t>
      </w:r>
    </w:p>
    <w:p w14:paraId="04CF1FF9" w14:textId="77777777" w:rsidR="00D956D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1B0104E" wp14:editId="2A6E2C9F">
            <wp:extent cx="4752975" cy="3648075"/>
            <wp:effectExtent l="0" t="0" r="0" b="0"/>
            <wp:docPr id="2126403601" name="Picture 212640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44EA" w14:textId="77777777" w:rsidR="00D956D3" w:rsidRPr="00C32500" w:rsidRDefault="00000000">
      <w:pPr>
        <w:spacing w:after="300"/>
        <w:jc w:val="center"/>
      </w:pPr>
      <w:r w:rsidRPr="00C32500">
        <w:rPr>
          <w:i/>
          <w:iCs/>
          <w:sz w:val="19"/>
          <w:szCs w:val="19"/>
        </w:rPr>
        <w:t>Figure 5. Total-order Sobol sensitivity indices for final suspended biomass — chlorine inactivation rate (</w:t>
      </w:r>
      <w:proofErr w:type="spellStart"/>
      <w:r w:rsidRPr="00C32500">
        <w:rPr>
          <w:i/>
          <w:iCs/>
          <w:sz w:val="19"/>
          <w:szCs w:val="19"/>
        </w:rPr>
        <w:t>Kinact</w:t>
      </w:r>
      <w:proofErr w:type="spellEnd"/>
      <w:r w:rsidRPr="00C32500">
        <w:rPr>
          <w:i/>
          <w:iCs/>
          <w:sz w:val="19"/>
          <w:szCs w:val="19"/>
        </w:rPr>
        <w:t>) dominates, far ahead of growth rate (</w:t>
      </w:r>
      <w:proofErr w:type="spellStart"/>
      <w:r w:rsidRPr="00C32500">
        <w:rPr>
          <w:i/>
          <w:iCs/>
          <w:sz w:val="19"/>
          <w:szCs w:val="19"/>
        </w:rPr>
        <w:t>umax</w:t>
      </w:r>
      <w:proofErr w:type="spellEnd"/>
      <w:r w:rsidRPr="00C32500">
        <w:rPr>
          <w:i/>
          <w:iCs/>
          <w:sz w:val="19"/>
          <w:szCs w:val="19"/>
        </w:rPr>
        <w:t>) and all other factors.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5"/>
      </w:tblGrid>
      <w:tr w:rsidR="00D956D3" w14:paraId="2CBBE0CB" w14:textId="77777777">
        <w:tc>
          <w:tcPr>
            <w:tcW w:w="0" w:type="auto"/>
            <w:tcBorders>
              <w:top w:val="single" w:sz="4" w:space="0" w:color="1F4E5F"/>
              <w:left w:val="single" w:sz="24" w:space="0" w:color="1F4E5F"/>
              <w:bottom w:val="single" w:sz="4" w:space="0" w:color="1F4E5F"/>
              <w:right w:val="single" w:sz="4" w:space="0" w:color="1F4E5F"/>
            </w:tcBorders>
            <w:shd w:val="clear" w:color="auto" w:fill="EAF3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0273FD" w14:textId="77777777" w:rsidR="00D956D3" w:rsidRDefault="00000000">
            <w:pPr>
              <w:spacing w:after="80"/>
            </w:pPr>
            <w:r>
              <w:rPr>
                <w:b/>
                <w:bCs/>
                <w:color w:val="1F4E5F"/>
                <w:sz w:val="22"/>
                <w:szCs w:val="22"/>
              </w:rPr>
              <w:t>Key finding</w:t>
            </w:r>
          </w:p>
          <w:p w14:paraId="0B28867B" w14:textId="77777777" w:rsidR="00D956D3" w:rsidRDefault="00000000">
            <w:r>
              <w:rPr>
                <w:sz w:val="21"/>
                <w:szCs w:val="21"/>
              </w:rPr>
              <w:t>Chlorine inactivation rate is the dominant control on how much pathogen biomass survives (Sobol total-order index ≈ 0.72) — more than five times as influential as growth rate (≈ 0.13) and over twenty times as influential as nutrient availability (≈ 0.03). Wall deposition, detachment, and biofilm yield had negligible influence on this outcome.</w:t>
            </w:r>
          </w:p>
        </w:tc>
      </w:tr>
    </w:tbl>
    <w:p w14:paraId="605C0B51" w14:textId="77777777" w:rsidR="00695890" w:rsidRDefault="00695890">
      <w:pPr>
        <w:spacing w:after="180" w:line="300" w:lineRule="auto"/>
        <w:rPr>
          <w:sz w:val="22"/>
          <w:szCs w:val="22"/>
        </w:rPr>
      </w:pPr>
    </w:p>
    <w:p w14:paraId="3EABA9DB" w14:textId="7324A85E" w:rsidR="00D956D3" w:rsidRDefault="00000000">
      <w:pPr>
        <w:spacing w:after="180" w:line="300" w:lineRule="auto"/>
        <w:rPr>
          <w:sz w:val="22"/>
          <w:szCs w:val="22"/>
        </w:rPr>
      </w:pPr>
      <w:r>
        <w:rPr>
          <w:sz w:val="22"/>
          <w:szCs w:val="22"/>
        </w:rPr>
        <w:t>In practical terms: within the range of biological variability tested, disinfection efficacy — not how fast the bacteria grow or how much food they have — is the lever with by far the greatest power to control pathogen persistence in this network.</w:t>
      </w:r>
    </w:p>
    <w:p w14:paraId="0EDA98CD" w14:textId="77777777" w:rsidR="00695890" w:rsidRDefault="00695890">
      <w:pPr>
        <w:spacing w:after="180" w:line="300" w:lineRule="auto"/>
      </w:pPr>
    </w:p>
    <w:p w14:paraId="5AA015CB" w14:textId="77777777" w:rsidR="00D956D3" w:rsidRDefault="00000000">
      <w:pPr>
        <w:pStyle w:val="Heading1"/>
        <w:pBdr>
          <w:bottom w:val="single" w:sz="6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lastRenderedPageBreak/>
        <w:t>4. Interpretation — What This Means</w:t>
      </w:r>
    </w:p>
    <w:p w14:paraId="4A70E16A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Maintaining chlorine residual throughout the network (not just at the source) is the highest-leverage intervention for limiting opportunistic pathogen risk — more so than trying to restrict nutrient loading or bacterial growth conditions.</w:t>
      </w:r>
    </w:p>
    <w:p w14:paraId="67848316" w14:textId="0F6AB52D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 xml:space="preserve">Risk concentrates spatially: even with an overall well-disinfected network, isolated stagnant or low-residual zones can become persistent reservoirs — </w:t>
      </w:r>
      <w:r w:rsidR="00872FBF">
        <w:rPr>
          <w:sz w:val="22"/>
          <w:szCs w:val="22"/>
        </w:rPr>
        <w:t>this match</w:t>
      </w:r>
      <w:r>
        <w:rPr>
          <w:sz w:val="22"/>
          <w:szCs w:val="22"/>
        </w:rPr>
        <w:t xml:space="preserve"> documented real-world causes of Legionnaires’ disease outbreaks in premise plumbing.</w:t>
      </w:r>
    </w:p>
    <w:p w14:paraId="61A5CC31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A mechanistic, physics-based model (rather than a purely statistical one) allows utilities to ask “what if” questions — e.g., what if residual is boosted in a specific zone — before implementing costly interventions.</w:t>
      </w:r>
    </w:p>
    <w:p w14:paraId="30974E8A" w14:textId="7B604AA6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 xml:space="preserve">This </w:t>
      </w:r>
      <w:r w:rsidR="00872FBF">
        <w:rPr>
          <w:sz w:val="22"/>
          <w:szCs w:val="22"/>
        </w:rPr>
        <w:t>modelling</w:t>
      </w:r>
      <w:r>
        <w:rPr>
          <w:sz w:val="22"/>
          <w:szCs w:val="22"/>
        </w:rPr>
        <w:t xml:space="preserve"> approach could support water-safety-plan style risk prioritisation, which connects directly to the standards and governance work relevant to ISO/TC 207 and youth engagement in environmental risk management.</w:t>
      </w:r>
    </w:p>
    <w:p w14:paraId="37ACDCB3" w14:textId="77777777" w:rsidR="00D956D3" w:rsidRDefault="00000000">
      <w:pPr>
        <w:pStyle w:val="Heading1"/>
        <w:pBdr>
          <w:bottom w:val="single" w:sz="6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t>5. Limitations &amp; Next Steps</w:t>
      </w:r>
    </w:p>
    <w:p w14:paraId="7D9B8D53" w14:textId="77777777" w:rsidR="00D956D3" w:rsidRDefault="00000000">
      <w:pPr>
        <w:spacing w:after="180" w:line="300" w:lineRule="auto"/>
      </w:pPr>
      <w:r>
        <w:rPr>
          <w:sz w:val="22"/>
          <w:szCs w:val="22"/>
        </w:rPr>
        <w:t>This is presented as an honest, in-progress working model, not a finished, field-validated tool:</w:t>
      </w:r>
    </w:p>
    <w:p w14:paraId="5389A23C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Kinetic parameter values are currently literature-informed placeholders, not yet fitted to Legionella/Pseudomonas-specific experimental data — next step is parameterising with literature-cited coefficients.</w:t>
      </w:r>
    </w:p>
    <w:p w14:paraId="6221C604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The sensitivity analysis used a modest sample size (112 runs); the ranking of chlorine inactivation as dominant is credible, but confidence intervals are still wide. Increasing the Sobol sample size is planned to tighten this.</w:t>
      </w:r>
    </w:p>
    <w:p w14:paraId="44B668B6" w14:textId="77777777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>The current results are for a single node/zone; extending the sensitivity analysis network-wide would confirm whether chlorine dominance holds everywhere or varies by location.</w:t>
      </w:r>
    </w:p>
    <w:p w14:paraId="24DBDF1E" w14:textId="442AB248" w:rsidR="00D956D3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sz w:val="22"/>
          <w:szCs w:val="22"/>
        </w:rPr>
        <w:t xml:space="preserve">Future work: literature-based re-parameterisation, larger-sample sensitivity analysis, and using the validated model as a foundation for a machine-learning surrogate (the pipeline already includes scikit-learn, </w:t>
      </w:r>
      <w:r w:rsidR="00872FBF">
        <w:rPr>
          <w:sz w:val="22"/>
          <w:szCs w:val="22"/>
        </w:rPr>
        <w:t>XgBoost</w:t>
      </w:r>
      <w:r>
        <w:rPr>
          <w:sz w:val="22"/>
          <w:szCs w:val="22"/>
        </w:rPr>
        <w:t>, LightGBM, and SHAP for this purpose).</w:t>
      </w:r>
    </w:p>
    <w:p w14:paraId="220B42F0" w14:textId="39308074" w:rsidR="00D956D3" w:rsidRDefault="00000000">
      <w:pPr>
        <w:pStyle w:val="Heading1"/>
        <w:pBdr>
          <w:bottom w:val="single" w:sz="6" w:space="4" w:color="1F4E5F"/>
        </w:pBdr>
        <w:spacing w:before="360" w:after="160"/>
      </w:pPr>
      <w:r>
        <w:rPr>
          <w:b/>
          <w:bCs/>
          <w:color w:val="1F4E5F"/>
          <w:sz w:val="30"/>
          <w:szCs w:val="30"/>
        </w:rPr>
        <w:t>6.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5"/>
      </w:tblGrid>
      <w:tr w:rsidR="00D956D3" w14:paraId="152CFB2E" w14:textId="77777777">
        <w:tc>
          <w:tcPr>
            <w:tcW w:w="0" w:type="auto"/>
            <w:tcBorders>
              <w:top w:val="single" w:sz="4" w:space="0" w:color="1F4E5F"/>
              <w:left w:val="single" w:sz="24" w:space="0" w:color="1F4E5F"/>
              <w:bottom w:val="single" w:sz="4" w:space="0" w:color="1F4E5F"/>
              <w:right w:val="single" w:sz="4" w:space="0" w:color="1F4E5F"/>
            </w:tcBorders>
            <w:shd w:val="clear" w:color="auto" w:fill="EAF3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13BE24" w14:textId="77777777" w:rsidR="00D956D3" w:rsidRDefault="00000000">
            <w:pPr>
              <w:spacing w:after="80"/>
            </w:pPr>
            <w:r>
              <w:rPr>
                <w:b/>
                <w:bCs/>
                <w:color w:val="1F4E5F"/>
                <w:sz w:val="22"/>
                <w:szCs w:val="22"/>
              </w:rPr>
              <w:t>One-line takeaway</w:t>
            </w:r>
          </w:p>
          <w:p w14:paraId="01723377" w14:textId="77777777" w:rsidR="00D956D3" w:rsidRDefault="00000000">
            <w:r>
              <w:rPr>
                <w:sz w:val="21"/>
                <w:szCs w:val="21"/>
              </w:rPr>
              <w:t>A validated, physics-based simulation of a real water network shows that disinfection efficacy — not bacterial growth or nutrients — is the dominant, quantifiable control on opportunistic pathogen persistence, directly informing where risk-reduction effort should be prioritised in water safety management.</w:t>
            </w:r>
          </w:p>
        </w:tc>
      </w:tr>
    </w:tbl>
    <w:p w14:paraId="79ACC7DC" w14:textId="77777777" w:rsidR="00D956D3" w:rsidRDefault="00D956D3">
      <w:pPr>
        <w:spacing w:after="200"/>
      </w:pPr>
    </w:p>
    <w:p w14:paraId="747C3872" w14:textId="77777777" w:rsidR="00D956D3" w:rsidRDefault="00000000">
      <w:pPr>
        <w:spacing w:after="180" w:line="300" w:lineRule="auto"/>
      </w:pPr>
      <w:r>
        <w:rPr>
          <w:i/>
          <w:iCs/>
          <w:color w:val="595959"/>
        </w:rPr>
        <w:t>Tools used: WNTR, EPANET-MSX, SALib (Sobol sampling/analysis), Python scientific stack.</w:t>
      </w:r>
    </w:p>
    <w:p w14:paraId="5C8E56D6" w14:textId="14BCB0F8" w:rsidR="00D956D3" w:rsidRDefault="00D956D3">
      <w:pPr>
        <w:spacing w:after="180" w:line="300" w:lineRule="auto"/>
      </w:pPr>
    </w:p>
    <w:sectPr w:rsidR="00D956D3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208E"/>
    <w:multiLevelType w:val="hybridMultilevel"/>
    <w:tmpl w:val="664E4FB2"/>
    <w:lvl w:ilvl="0" w:tplc="DBF4D6D2">
      <w:start w:val="1"/>
      <w:numFmt w:val="bullet"/>
      <w:lvlText w:val="●"/>
      <w:lvlJc w:val="left"/>
      <w:pPr>
        <w:ind w:left="720" w:hanging="360"/>
      </w:pPr>
    </w:lvl>
    <w:lvl w:ilvl="1" w:tplc="B882C356">
      <w:start w:val="1"/>
      <w:numFmt w:val="bullet"/>
      <w:lvlText w:val="○"/>
      <w:lvlJc w:val="left"/>
      <w:pPr>
        <w:ind w:left="1440" w:hanging="360"/>
      </w:pPr>
    </w:lvl>
    <w:lvl w:ilvl="2" w:tplc="4B50AFA0">
      <w:start w:val="1"/>
      <w:numFmt w:val="bullet"/>
      <w:lvlText w:val="■"/>
      <w:lvlJc w:val="left"/>
      <w:pPr>
        <w:ind w:left="2160" w:hanging="360"/>
      </w:pPr>
    </w:lvl>
    <w:lvl w:ilvl="3" w:tplc="18D2A264">
      <w:start w:val="1"/>
      <w:numFmt w:val="bullet"/>
      <w:lvlText w:val="●"/>
      <w:lvlJc w:val="left"/>
      <w:pPr>
        <w:ind w:left="2880" w:hanging="360"/>
      </w:pPr>
    </w:lvl>
    <w:lvl w:ilvl="4" w:tplc="768E9B78">
      <w:start w:val="1"/>
      <w:numFmt w:val="bullet"/>
      <w:lvlText w:val="○"/>
      <w:lvlJc w:val="left"/>
      <w:pPr>
        <w:ind w:left="3600" w:hanging="360"/>
      </w:pPr>
    </w:lvl>
    <w:lvl w:ilvl="5" w:tplc="D794FC1A">
      <w:start w:val="1"/>
      <w:numFmt w:val="bullet"/>
      <w:lvlText w:val="■"/>
      <w:lvlJc w:val="left"/>
      <w:pPr>
        <w:ind w:left="4320" w:hanging="360"/>
      </w:pPr>
    </w:lvl>
    <w:lvl w:ilvl="6" w:tplc="24566EA0">
      <w:start w:val="1"/>
      <w:numFmt w:val="bullet"/>
      <w:lvlText w:val="●"/>
      <w:lvlJc w:val="left"/>
      <w:pPr>
        <w:ind w:left="5040" w:hanging="360"/>
      </w:pPr>
    </w:lvl>
    <w:lvl w:ilvl="7" w:tplc="786A04C6">
      <w:start w:val="1"/>
      <w:numFmt w:val="bullet"/>
      <w:lvlText w:val="●"/>
      <w:lvlJc w:val="left"/>
      <w:pPr>
        <w:ind w:left="5760" w:hanging="360"/>
      </w:pPr>
    </w:lvl>
    <w:lvl w:ilvl="8" w:tplc="85E2A9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AC092D"/>
    <w:multiLevelType w:val="hybridMultilevel"/>
    <w:tmpl w:val="4D949494"/>
    <w:lvl w:ilvl="0" w:tplc="6E92393A">
      <w:start w:val="1"/>
      <w:numFmt w:val="bullet"/>
      <w:lvlText w:val="•"/>
      <w:lvlJc w:val="left"/>
      <w:pPr>
        <w:ind w:left="504" w:hanging="288"/>
      </w:pPr>
    </w:lvl>
    <w:lvl w:ilvl="1" w:tplc="F1969F62">
      <w:numFmt w:val="decimal"/>
      <w:lvlText w:val=""/>
      <w:lvlJc w:val="left"/>
    </w:lvl>
    <w:lvl w:ilvl="2" w:tplc="23EC7F3E">
      <w:numFmt w:val="decimal"/>
      <w:lvlText w:val=""/>
      <w:lvlJc w:val="left"/>
    </w:lvl>
    <w:lvl w:ilvl="3" w:tplc="F314ED6E">
      <w:numFmt w:val="decimal"/>
      <w:lvlText w:val=""/>
      <w:lvlJc w:val="left"/>
    </w:lvl>
    <w:lvl w:ilvl="4" w:tplc="3A123EA4">
      <w:numFmt w:val="decimal"/>
      <w:lvlText w:val=""/>
      <w:lvlJc w:val="left"/>
    </w:lvl>
    <w:lvl w:ilvl="5" w:tplc="95F2E558">
      <w:numFmt w:val="decimal"/>
      <w:lvlText w:val=""/>
      <w:lvlJc w:val="left"/>
    </w:lvl>
    <w:lvl w:ilvl="6" w:tplc="E102B90A">
      <w:numFmt w:val="decimal"/>
      <w:lvlText w:val=""/>
      <w:lvlJc w:val="left"/>
    </w:lvl>
    <w:lvl w:ilvl="7" w:tplc="5950C62A">
      <w:numFmt w:val="decimal"/>
      <w:lvlText w:val=""/>
      <w:lvlJc w:val="left"/>
    </w:lvl>
    <w:lvl w:ilvl="8" w:tplc="E0EC4EB0">
      <w:numFmt w:val="decimal"/>
      <w:lvlText w:val=""/>
      <w:lvlJc w:val="left"/>
    </w:lvl>
  </w:abstractNum>
  <w:num w:numId="1" w16cid:durableId="517431256">
    <w:abstractNumId w:val="0"/>
    <w:lvlOverride w:ilvl="0">
      <w:startOverride w:val="1"/>
    </w:lvlOverride>
  </w:num>
  <w:num w:numId="2" w16cid:durableId="5325034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6D3"/>
    <w:rsid w:val="005E6761"/>
    <w:rsid w:val="00695890"/>
    <w:rsid w:val="00872FBF"/>
    <w:rsid w:val="008A62A6"/>
    <w:rsid w:val="00B0096B"/>
    <w:rsid w:val="00B71419"/>
    <w:rsid w:val="00C32500"/>
    <w:rsid w:val="00D956D3"/>
    <w:rsid w:val="00DC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E89A"/>
  <w15:docId w15:val="{00F3A51B-0EAF-4AD8-A35E-C1E8AB71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1408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nikassh.bala@outlook.com</cp:lastModifiedBy>
  <cp:revision>14</cp:revision>
  <dcterms:created xsi:type="dcterms:W3CDTF">2026-09-14T16:31:00Z</dcterms:created>
  <dcterms:modified xsi:type="dcterms:W3CDTF">2026-09-14T17:06:00Z</dcterms:modified>
</cp:coreProperties>
</file>