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89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gridCol w:w="7095"/>
        <w:tblGridChange w:id="0">
          <w:tblGrid>
            <w:gridCol w:w="9795"/>
            <w:gridCol w:w="709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677.5"/>
              <w:gridCol w:w="1677.5"/>
              <w:tblGridChange w:id="0">
                <w:tblGrid>
                  <w:gridCol w:w="1890"/>
                  <w:gridCol w:w="1470"/>
                  <w:gridCol w:w="1545"/>
                  <w:gridCol w:w="1335"/>
                  <w:gridCol w:w="1677.5"/>
                  <w:gridCol w:w="167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8761d"/>
                <w:sz w:val="24"/>
                <w:szCs w:val="24"/>
                <w:rtl w:val="0"/>
              </w:rPr>
              <w:t xml:space="preserve">Дані тест-кейси показують всі можливі валідні переходи на діаграмі.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87.5"/>
              <w:gridCol w:w="2580"/>
              <w:gridCol w:w="1290"/>
              <w:gridCol w:w="1312.5"/>
              <w:gridCol w:w="1312.5"/>
              <w:gridCol w:w="1312.5"/>
              <w:tblGridChange w:id="0">
                <w:tblGrid>
                  <w:gridCol w:w="1787.5"/>
                  <w:gridCol w:w="2580"/>
                  <w:gridCol w:w="1290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8761d"/>
                <w:sz w:val="24"/>
                <w:szCs w:val="24"/>
                <w:rtl w:val="0"/>
              </w:rPr>
              <w:t xml:space="preserve">Умова 1 = НІ, Умова 2 = ТАК, Умова 3 = НІ, Дія = НІ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6086475" cy="2171700"/>
                  <wp:effectExtent b="0" l="0" r="0" t="0"/>
                  <wp:docPr id="2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475" cy="217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Згідно цієї діаграми треба 8 тест-кейсів для перевірки всіх валідних значень.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</w:tc>
      </w:tr>
    </w:tbl>
    <w:p w:rsidR="00000000" w:rsidDel="00000000" w:rsidP="00000000" w:rsidRDefault="00000000" w:rsidRPr="00000000" w14:paraId="00000067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