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07A" w:rsidRPr="001C107A" w:rsidRDefault="001C107A" w:rsidP="001C107A">
      <w:pPr>
        <w:spacing w:after="0"/>
        <w:jc w:val="both"/>
        <w:rPr>
          <w:sz w:val="24"/>
          <w:szCs w:val="24"/>
        </w:rPr>
      </w:pPr>
      <w:bookmarkStart w:id="0" w:name="_GoBack"/>
      <w:bookmarkEnd w:id="0"/>
      <w:r w:rsidRPr="001C107A">
        <w:rPr>
          <w:sz w:val="24"/>
          <w:szCs w:val="24"/>
        </w:rPr>
        <w:t xml:space="preserve">Вопросы к зачёту </w:t>
      </w:r>
      <w:r w:rsidRPr="001C107A">
        <w:rPr>
          <w:sz w:val="24"/>
          <w:szCs w:val="24"/>
          <w:lang w:val="en-US"/>
        </w:rPr>
        <w:t>c</w:t>
      </w:r>
      <w:r w:rsidRPr="001C107A">
        <w:rPr>
          <w:sz w:val="24"/>
          <w:szCs w:val="24"/>
        </w:rPr>
        <w:t xml:space="preserve"> оценкой</w:t>
      </w:r>
    </w:p>
    <w:p w:rsidR="001C107A" w:rsidRPr="00DF15C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 xml:space="preserve">Понятие тестирования </w:t>
      </w:r>
      <w:proofErr w:type="gramStart"/>
      <w:r w:rsidRPr="00DF15C8">
        <w:rPr>
          <w:sz w:val="24"/>
          <w:szCs w:val="24"/>
        </w:rPr>
        <w:t>ПО</w:t>
      </w:r>
      <w:proofErr w:type="gramEnd"/>
      <w:r>
        <w:rPr>
          <w:sz w:val="24"/>
          <w:szCs w:val="24"/>
        </w:rPr>
        <w:t>.</w:t>
      </w:r>
    </w:p>
    <w:p w:rsidR="001C107A" w:rsidRPr="00DF15C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Виды тестов</w:t>
      </w:r>
      <w:r>
        <w:rPr>
          <w:sz w:val="24"/>
          <w:szCs w:val="24"/>
        </w:rPr>
        <w:t>.</w:t>
      </w:r>
    </w:p>
    <w:p w:rsidR="001C107A" w:rsidRPr="00DF15C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Регрессионное тестирование</w:t>
      </w:r>
      <w:r>
        <w:rPr>
          <w:sz w:val="24"/>
          <w:szCs w:val="24"/>
        </w:rPr>
        <w:t>.</w:t>
      </w:r>
    </w:p>
    <w:p w:rsidR="001C107A" w:rsidRPr="00DF15C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Модульное тестирование</w:t>
      </w:r>
      <w:r>
        <w:rPr>
          <w:sz w:val="24"/>
          <w:szCs w:val="24"/>
        </w:rPr>
        <w:t>.</w:t>
      </w:r>
    </w:p>
    <w:p w:rsidR="001C107A" w:rsidRPr="00DF15C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Интеграционное тестирование</w:t>
      </w:r>
      <w:r>
        <w:rPr>
          <w:sz w:val="24"/>
          <w:szCs w:val="24"/>
        </w:rPr>
        <w:t>.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Ручное тестирование</w:t>
      </w:r>
      <w:r>
        <w:rPr>
          <w:sz w:val="24"/>
          <w:szCs w:val="24"/>
        </w:rPr>
        <w:t>.</w:t>
      </w:r>
    </w:p>
    <w:p w:rsidR="001C107A" w:rsidRPr="00DF15C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Уровни тестирования</w:t>
      </w:r>
      <w:r>
        <w:rPr>
          <w:sz w:val="24"/>
          <w:szCs w:val="24"/>
        </w:rPr>
        <w:t>.</w:t>
      </w:r>
    </w:p>
    <w:p w:rsidR="001C107A" w:rsidRPr="00DF15C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Типы тестирования</w:t>
      </w:r>
      <w:r>
        <w:rPr>
          <w:sz w:val="24"/>
          <w:szCs w:val="24"/>
        </w:rPr>
        <w:t>.</w:t>
      </w:r>
    </w:p>
    <w:p w:rsidR="001C107A" w:rsidRPr="00DF15C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Тестовая документация. 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Дефекты</w:t>
      </w:r>
      <w:r w:rsidRPr="00DF15C8">
        <w:rPr>
          <w:sz w:val="24"/>
          <w:szCs w:val="24"/>
        </w:rPr>
        <w:t>.</w:t>
      </w:r>
    </w:p>
    <w:p w:rsidR="001C107A" w:rsidRPr="00DF15C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Автоматизированное тестирование. Инструменты.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 w:rsidRPr="00DF15C8">
        <w:rPr>
          <w:sz w:val="24"/>
          <w:szCs w:val="24"/>
        </w:rPr>
        <w:t>Нагрузочное тестирование. Инструменты.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Проектирование тестов.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Место тестирования в жизненном цикле разработки приложений.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Метрики в тестировании.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Связь тестирования с процессами обеспечения качества.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Методы тестирования.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Метод анализа граничных значений.</w:t>
      </w:r>
    </w:p>
    <w:p w:rsidR="001C107A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Метод эквивалентных классов.</w:t>
      </w:r>
    </w:p>
    <w:p w:rsidR="001C107A" w:rsidRPr="00FE4A38" w:rsidRDefault="001C107A" w:rsidP="001C107A">
      <w:pPr>
        <w:numPr>
          <w:ilvl w:val="0"/>
          <w:numId w:val="2"/>
        </w:numPr>
        <w:suppressAutoHyphens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Тестирование в процессах непрерывной интеграции.</w:t>
      </w:r>
    </w:p>
    <w:p w:rsidR="007B1B2A" w:rsidRDefault="007B1B2A"/>
    <w:sectPr w:rsidR="007B1B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E749C"/>
    <w:multiLevelType w:val="hybridMultilevel"/>
    <w:tmpl w:val="AA645FB4"/>
    <w:lvl w:ilvl="0" w:tplc="E954DA2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7DB3577"/>
    <w:multiLevelType w:val="hybridMultilevel"/>
    <w:tmpl w:val="AA645F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07A"/>
    <w:rsid w:val="001C107A"/>
    <w:rsid w:val="007B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kern w:val="20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C107A"/>
    <w:pPr>
      <w:spacing w:after="160" w:line="259" w:lineRule="auto"/>
      <w:ind w:left="720"/>
      <w:contextualSpacing/>
    </w:pPr>
    <w:rPr>
      <w:rFonts w:ascii="Calibri" w:eastAsia="Calibri" w:hAnsi="Calibri"/>
      <w:kern w:val="0"/>
      <w:sz w:val="22"/>
      <w:szCs w:val="22"/>
      <w:lang w:eastAsia="en-US"/>
    </w:rPr>
  </w:style>
  <w:style w:type="character" w:customStyle="1" w:styleId="a4">
    <w:name w:val="Абзац списка Знак"/>
    <w:link w:val="a3"/>
    <w:uiPriority w:val="34"/>
    <w:locked/>
    <w:rsid w:val="001C107A"/>
    <w:rPr>
      <w:rFonts w:ascii="Calibri" w:eastAsia="Calibri" w:hAnsi="Calibri"/>
      <w:kern w:val="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kern w:val="20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C107A"/>
    <w:pPr>
      <w:spacing w:after="160" w:line="259" w:lineRule="auto"/>
      <w:ind w:left="720"/>
      <w:contextualSpacing/>
    </w:pPr>
    <w:rPr>
      <w:rFonts w:ascii="Calibri" w:eastAsia="Calibri" w:hAnsi="Calibri"/>
      <w:kern w:val="0"/>
      <w:sz w:val="22"/>
      <w:szCs w:val="22"/>
      <w:lang w:eastAsia="en-US"/>
    </w:rPr>
  </w:style>
  <w:style w:type="character" w:customStyle="1" w:styleId="a4">
    <w:name w:val="Абзац списка Знак"/>
    <w:link w:val="a3"/>
    <w:uiPriority w:val="34"/>
    <w:locked/>
    <w:rsid w:val="001C107A"/>
    <w:rPr>
      <w:rFonts w:ascii="Calibri" w:eastAsia="Calibri" w:hAnsi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2022-10-20T08:47:00Z</dcterms:created>
  <dcterms:modified xsi:type="dcterms:W3CDTF">2022-10-20T08:47:00Z</dcterms:modified>
</cp:coreProperties>
</file>