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2226DE" w14:textId="093102F5" w:rsidR="009D7EA8" w:rsidRDefault="3554F9B7" w:rsidP="6130E1CA">
      <w:pPr>
        <w:pStyle w:val="Heading1"/>
        <w:spacing w:before="0" w:after="322"/>
      </w:pPr>
      <w:r w:rsidRPr="6130E1CA">
        <w:rPr>
          <w:rFonts w:ascii="sans-serif" w:eastAsia="sans-serif" w:hAnsi="sans-serif" w:cs="sans-serif"/>
          <w:b/>
          <w:bCs/>
          <w:sz w:val="48"/>
          <w:szCs w:val="48"/>
        </w:rPr>
        <w:t>Senior Backend Engineer Take-Home Assignment (NestJS)</w:t>
      </w:r>
    </w:p>
    <w:p w14:paraId="46C4E4CC" w14:textId="1543D52C" w:rsidR="009D7EA8" w:rsidRDefault="3554F9B7" w:rsidP="6130E1CA">
      <w:pPr>
        <w:spacing w:after="240"/>
      </w:pPr>
      <w:r w:rsidRPr="6130E1CA">
        <w:rPr>
          <w:rFonts w:ascii="sans-serif" w:eastAsia="sans-serif" w:hAnsi="sans-serif" w:cs="sans-serif"/>
          <w:b/>
          <w:bCs/>
        </w:rPr>
        <w:t>Maximum expected effort:</w:t>
      </w:r>
      <w:r w:rsidRPr="6130E1CA">
        <w:rPr>
          <w:rFonts w:ascii="sans-serif" w:eastAsia="sans-serif" w:hAnsi="sans-serif" w:cs="sans-serif"/>
        </w:rPr>
        <w:t xml:space="preserve"> 6-8 hours </w:t>
      </w:r>
      <w:r w:rsidRPr="6130E1CA">
        <w:rPr>
          <w:rFonts w:ascii="sans-serif" w:eastAsia="sans-serif" w:hAnsi="sans-serif" w:cs="sans-serif"/>
          <w:i/>
          <w:iCs/>
        </w:rPr>
        <w:t xml:space="preserve">(Returned within </w:t>
      </w:r>
      <w:r w:rsidR="008846B3">
        <w:rPr>
          <w:rFonts w:ascii="sans-serif" w:eastAsia="sans-serif" w:hAnsi="sans-serif" w:cs="sans-serif"/>
          <w:i/>
          <w:iCs/>
        </w:rPr>
        <w:t xml:space="preserve">3 to </w:t>
      </w:r>
      <w:r w:rsidRPr="6130E1CA">
        <w:rPr>
          <w:rFonts w:ascii="sans-serif" w:eastAsia="sans-serif" w:hAnsi="sans-serif" w:cs="sans-serif"/>
          <w:i/>
          <w:iCs/>
        </w:rPr>
        <w:t>5 calendar days)</w:t>
      </w:r>
    </w:p>
    <w:p w14:paraId="18C488F7" w14:textId="0F9D5734" w:rsidR="009D7EA8" w:rsidRDefault="3554F9B7" w:rsidP="6130E1CA">
      <w:pPr>
        <w:pStyle w:val="Heading2"/>
        <w:spacing w:before="0" w:after="299"/>
      </w:pPr>
      <w:r w:rsidRPr="6130E1CA">
        <w:rPr>
          <w:rFonts w:ascii="sans-serif" w:eastAsia="sans-serif" w:hAnsi="sans-serif" w:cs="sans-serif"/>
          <w:b/>
          <w:bCs/>
          <w:sz w:val="36"/>
          <w:szCs w:val="36"/>
        </w:rPr>
        <w:t>Overview &amp; Evaluation Philosophy</w:t>
      </w:r>
    </w:p>
    <w:p w14:paraId="46D7FF54" w14:textId="746369A8" w:rsidR="009D7EA8" w:rsidRDefault="3554F9B7" w:rsidP="6130E1CA">
      <w:pPr>
        <w:spacing w:after="240"/>
      </w:pPr>
      <w:r w:rsidRPr="6130E1CA">
        <w:rPr>
          <w:rFonts w:ascii="sans-serif" w:eastAsia="sans-serif" w:hAnsi="sans-serif" w:cs="sans-serif"/>
        </w:rPr>
        <w:t xml:space="preserve">This assignment evaluates senior-level engineering capability against a production-oriented merchant payments and operations platform. The goal is not to build a production-complete system, but to prioritize highest-value core requirements, demonstrate sound trade-offs, and maintain clean architecture. </w:t>
      </w:r>
    </w:p>
    <w:p w14:paraId="51D09947" w14:textId="1744A1E4" w:rsidR="009D7EA8" w:rsidRDefault="3554F9B7" w:rsidP="6130E1CA">
      <w:pPr>
        <w:spacing w:after="240"/>
      </w:pPr>
      <w:r w:rsidRPr="6130E1CA">
        <w:rPr>
          <w:rFonts w:ascii="sans-serif" w:eastAsia="sans-serif" w:hAnsi="sans-serif" w:cs="sans-serif"/>
        </w:rPr>
        <w:t>Evaluations are graded on a 1–4 scale across key areas with a mandatory passing threshold.</w:t>
      </w:r>
    </w:p>
    <w:p w14:paraId="6CCE0163" w14:textId="4D41C69E" w:rsidR="009D7EA8" w:rsidRDefault="3554F9B7" w:rsidP="6130E1CA">
      <w:pPr>
        <w:spacing w:after="240"/>
      </w:pPr>
      <w:r w:rsidRPr="6130E1CA">
        <w:rPr>
          <w:rFonts w:ascii="sans-serif" w:eastAsia="sans-serif" w:hAnsi="sans-serif" w:cs="sans-serif"/>
          <w:b/>
          <w:bCs/>
        </w:rPr>
        <w:t>Automatic-Fail Conditions:</w:t>
      </w:r>
    </w:p>
    <w:p w14:paraId="4F2A6D0C" w14:textId="79E3738E" w:rsidR="009D7EA8" w:rsidRDefault="3554F9B7" w:rsidP="6130E1CA">
      <w:pPr>
        <w:pStyle w:val="ListParagraph"/>
        <w:numPr>
          <w:ilvl w:val="0"/>
          <w:numId w:val="14"/>
        </w:numPr>
        <w:spacing w:after="240"/>
        <w:rPr>
          <w:rFonts w:ascii="sans-serif" w:eastAsia="sans-serif" w:hAnsi="sans-serif" w:cs="sans-serif"/>
        </w:rPr>
      </w:pPr>
      <w:r w:rsidRPr="6130E1CA">
        <w:rPr>
          <w:rFonts w:ascii="sans-serif" w:eastAsia="sans-serif" w:hAnsi="sans-serif" w:cs="sans-serif"/>
        </w:rPr>
        <w:t xml:space="preserve">Committed secrets, API keys, or credentials. </w:t>
      </w:r>
    </w:p>
    <w:p w14:paraId="29FA56CA" w14:textId="1B8B64FF" w:rsidR="009D7EA8" w:rsidRDefault="3554F9B7" w:rsidP="6130E1CA">
      <w:pPr>
        <w:pStyle w:val="ListParagraph"/>
        <w:numPr>
          <w:ilvl w:val="0"/>
          <w:numId w:val="14"/>
        </w:numPr>
        <w:spacing w:after="240"/>
        <w:rPr>
          <w:rFonts w:ascii="sans-serif" w:eastAsia="sans-serif" w:hAnsi="sans-serif" w:cs="sans-serif"/>
        </w:rPr>
      </w:pPr>
      <w:r w:rsidRPr="6130E1CA">
        <w:rPr>
          <w:rFonts w:ascii="sans-serif" w:eastAsia="sans-serif" w:hAnsi="sans-serif" w:cs="sans-serif"/>
        </w:rPr>
        <w:t xml:space="preserve">Any authorization or object-level security bypass. </w:t>
      </w:r>
    </w:p>
    <w:p w14:paraId="481025BC" w14:textId="6F92F9F2" w:rsidR="009D7EA8" w:rsidRDefault="3554F9B7" w:rsidP="6130E1CA">
      <w:pPr>
        <w:pStyle w:val="ListParagraph"/>
        <w:numPr>
          <w:ilvl w:val="0"/>
          <w:numId w:val="14"/>
        </w:numPr>
        <w:spacing w:after="240"/>
        <w:rPr>
          <w:rFonts w:ascii="sans-serif" w:eastAsia="sans-serif" w:hAnsi="sans-serif" w:cs="sans-serif"/>
        </w:rPr>
      </w:pPr>
      <w:r w:rsidRPr="6130E1CA">
        <w:rPr>
          <w:rFonts w:ascii="sans-serif" w:eastAsia="sans-serif" w:hAnsi="sans-serif" w:cs="sans-serif"/>
        </w:rPr>
        <w:t xml:space="preserve">Inclusion of real personal, customer, or payment card data. </w:t>
      </w:r>
    </w:p>
    <w:p w14:paraId="416CB431" w14:textId="153AFCFE" w:rsidR="009D7EA8" w:rsidRDefault="3554F9B7" w:rsidP="6130E1CA">
      <w:pPr>
        <w:pStyle w:val="ListParagraph"/>
        <w:numPr>
          <w:ilvl w:val="0"/>
          <w:numId w:val="14"/>
        </w:numPr>
        <w:spacing w:after="240"/>
        <w:rPr>
          <w:rFonts w:ascii="sans-serif" w:eastAsia="sans-serif" w:hAnsi="sans-serif" w:cs="sans-serif"/>
        </w:rPr>
      </w:pPr>
      <w:r w:rsidRPr="6130E1CA">
        <w:rPr>
          <w:rFonts w:ascii="sans-serif" w:eastAsia="sans-serif" w:hAnsi="sans-serif" w:cs="sans-serif"/>
        </w:rPr>
        <w:t xml:space="preserve">Plagiarized or copied work. </w:t>
      </w:r>
    </w:p>
    <w:p w14:paraId="6003BBB8" w14:textId="6B53D2AF" w:rsidR="009D7EA8" w:rsidRDefault="3554F9B7" w:rsidP="6130E1CA">
      <w:pPr>
        <w:pStyle w:val="ListParagraph"/>
        <w:numPr>
          <w:ilvl w:val="0"/>
          <w:numId w:val="14"/>
        </w:numPr>
        <w:spacing w:after="240"/>
        <w:rPr>
          <w:rFonts w:ascii="sans-serif" w:eastAsia="sans-serif" w:hAnsi="sans-serif" w:cs="sans-serif"/>
        </w:rPr>
      </w:pPr>
      <w:r w:rsidRPr="6130E1CA">
        <w:rPr>
          <w:rFonts w:ascii="sans-serif" w:eastAsia="sans-serif" w:hAnsi="sans-serif" w:cs="sans-serif"/>
        </w:rPr>
        <w:t xml:space="preserve">Inability of the candidate to explain their own code during the review interview. </w:t>
      </w:r>
    </w:p>
    <w:p w14:paraId="36D1CA00" w14:textId="1AF63849" w:rsidR="009D7EA8" w:rsidRDefault="3554F9B7" w:rsidP="6130E1CA">
      <w:pPr>
        <w:pStyle w:val="Heading2"/>
        <w:spacing w:before="0" w:after="299"/>
      </w:pPr>
      <w:r w:rsidRPr="6130E1CA">
        <w:rPr>
          <w:rFonts w:ascii="sans-serif" w:eastAsia="sans-serif" w:hAnsi="sans-serif" w:cs="sans-serif"/>
          <w:b/>
          <w:bCs/>
          <w:sz w:val="36"/>
          <w:szCs w:val="36"/>
        </w:rPr>
        <w:t>1. Technology Requirements</w:t>
      </w:r>
    </w:p>
    <w:p w14:paraId="44A5B6E3" w14:textId="68F177E9" w:rsidR="009D7EA8" w:rsidRDefault="3554F9B7" w:rsidP="6130E1CA">
      <w:pPr>
        <w:pStyle w:val="ListParagraph"/>
        <w:numPr>
          <w:ilvl w:val="0"/>
          <w:numId w:val="13"/>
        </w:numPr>
        <w:spacing w:after="240"/>
        <w:rPr>
          <w:rFonts w:ascii="sans-serif" w:eastAsia="sans-serif" w:hAnsi="sans-serif" w:cs="sans-serif"/>
        </w:rPr>
      </w:pPr>
      <w:r w:rsidRPr="6130E1CA">
        <w:rPr>
          <w:rFonts w:ascii="sans-serif" w:eastAsia="sans-serif" w:hAnsi="sans-serif" w:cs="sans-serif"/>
        </w:rPr>
        <w:t xml:space="preserve">TypeScript and Node.js. </w:t>
      </w:r>
    </w:p>
    <w:p w14:paraId="73CA3236" w14:textId="16088048" w:rsidR="009D7EA8" w:rsidRDefault="3554F9B7" w:rsidP="6130E1CA">
      <w:pPr>
        <w:pStyle w:val="ListParagraph"/>
        <w:numPr>
          <w:ilvl w:val="0"/>
          <w:numId w:val="13"/>
        </w:numPr>
        <w:spacing w:after="240"/>
        <w:rPr>
          <w:rFonts w:ascii="sans-serif" w:eastAsia="sans-serif" w:hAnsi="sans-serif" w:cs="sans-serif"/>
        </w:rPr>
      </w:pPr>
      <w:r w:rsidRPr="6130E1CA">
        <w:rPr>
          <w:rFonts w:ascii="sans-serif" w:eastAsia="sans-serif" w:hAnsi="sans-serif" w:cs="sans-serif"/>
        </w:rPr>
        <w:t xml:space="preserve">NestJS 10+ with modular architecture, dependency injection, DTOs, validation, guards, interceptors/pipes, and centralized error handling. </w:t>
      </w:r>
    </w:p>
    <w:p w14:paraId="6CEDCC2B" w14:textId="5175C724" w:rsidR="009D7EA8" w:rsidRDefault="3554F9B7" w:rsidP="6130E1CA">
      <w:pPr>
        <w:pStyle w:val="ListParagraph"/>
        <w:numPr>
          <w:ilvl w:val="0"/>
          <w:numId w:val="13"/>
        </w:numPr>
        <w:spacing w:after="240"/>
        <w:rPr>
          <w:rFonts w:ascii="sans-serif" w:eastAsia="sans-serif" w:hAnsi="sans-serif" w:cs="sans-serif"/>
        </w:rPr>
      </w:pPr>
      <w:r w:rsidRPr="6130E1CA">
        <w:rPr>
          <w:rFonts w:ascii="sans-serif" w:eastAsia="sans-serif" w:hAnsi="sans-serif" w:cs="sans-serif"/>
        </w:rPr>
        <w:t xml:space="preserve">PostgreSQL with TypeORM and reviewed migrations (PostgreSQL is fully acceptable for audit logs in this time-box). </w:t>
      </w:r>
    </w:p>
    <w:p w14:paraId="541E50F9" w14:textId="6BD0CDBE" w:rsidR="009D7EA8" w:rsidRDefault="3554F9B7" w:rsidP="6130E1CA">
      <w:pPr>
        <w:pStyle w:val="ListParagraph"/>
        <w:numPr>
          <w:ilvl w:val="0"/>
          <w:numId w:val="13"/>
        </w:numPr>
        <w:spacing w:after="240"/>
        <w:rPr>
          <w:rFonts w:ascii="sans-serif" w:eastAsia="sans-serif" w:hAnsi="sans-serif" w:cs="sans-serif"/>
        </w:rPr>
      </w:pPr>
      <w:r w:rsidRPr="6130E1CA">
        <w:rPr>
          <w:rFonts w:ascii="sans-serif" w:eastAsia="sans-serif" w:hAnsi="sans-serif" w:cs="sans-serif"/>
        </w:rPr>
        <w:t xml:space="preserve">Redis and BullMQ for asynchronous risk-review processing. </w:t>
      </w:r>
    </w:p>
    <w:p w14:paraId="0943AC2A" w14:textId="3EB5DEBA" w:rsidR="009D7EA8" w:rsidRDefault="3554F9B7" w:rsidP="6130E1CA">
      <w:pPr>
        <w:pStyle w:val="ListParagraph"/>
        <w:numPr>
          <w:ilvl w:val="0"/>
          <w:numId w:val="13"/>
        </w:numPr>
        <w:spacing w:after="240"/>
        <w:rPr>
          <w:rFonts w:ascii="sans-serif" w:eastAsia="sans-serif" w:hAnsi="sans-serif" w:cs="sans-serif"/>
        </w:rPr>
      </w:pPr>
      <w:r w:rsidRPr="6130E1CA">
        <w:rPr>
          <w:rFonts w:ascii="sans-serif" w:eastAsia="sans-serif" w:hAnsi="sans-serif" w:cs="sans-serif"/>
        </w:rPr>
        <w:t xml:space="preserve">JWT authentication and role/policy-based authorization. </w:t>
      </w:r>
    </w:p>
    <w:p w14:paraId="6D67A4A2" w14:textId="1828DD21" w:rsidR="009D7EA8" w:rsidRDefault="3554F9B7" w:rsidP="6130E1CA">
      <w:pPr>
        <w:pStyle w:val="ListParagraph"/>
        <w:numPr>
          <w:ilvl w:val="0"/>
          <w:numId w:val="13"/>
        </w:numPr>
        <w:spacing w:after="240"/>
        <w:rPr>
          <w:rFonts w:ascii="sans-serif" w:eastAsia="sans-serif" w:hAnsi="sans-serif" w:cs="sans-serif"/>
        </w:rPr>
      </w:pPr>
      <w:r w:rsidRPr="6130E1CA">
        <w:rPr>
          <w:rFonts w:ascii="sans-serif" w:eastAsia="sans-serif" w:hAnsi="sans-serif" w:cs="sans-serif"/>
        </w:rPr>
        <w:t xml:space="preserve">OpenAPI/Swagger documentation. </w:t>
      </w:r>
    </w:p>
    <w:p w14:paraId="5F34FA95" w14:textId="59465BE3" w:rsidR="009D7EA8" w:rsidRDefault="3554F9B7" w:rsidP="6130E1CA">
      <w:pPr>
        <w:pStyle w:val="ListParagraph"/>
        <w:numPr>
          <w:ilvl w:val="0"/>
          <w:numId w:val="13"/>
        </w:numPr>
        <w:spacing w:after="240"/>
        <w:rPr>
          <w:rFonts w:ascii="sans-serif" w:eastAsia="sans-serif" w:hAnsi="sans-serif" w:cs="sans-serif"/>
        </w:rPr>
      </w:pPr>
      <w:r w:rsidRPr="6130E1CA">
        <w:rPr>
          <w:rFonts w:ascii="sans-serif" w:eastAsia="sans-serif" w:hAnsi="sans-serif" w:cs="sans-serif"/>
        </w:rPr>
        <w:t xml:space="preserve">Jest for unit tests and Supertest for integration tests. </w:t>
      </w:r>
    </w:p>
    <w:p w14:paraId="5BFD4F49" w14:textId="06F5A48B" w:rsidR="009D7EA8" w:rsidRDefault="3554F9B7" w:rsidP="6130E1CA">
      <w:pPr>
        <w:pStyle w:val="ListParagraph"/>
        <w:numPr>
          <w:ilvl w:val="0"/>
          <w:numId w:val="13"/>
        </w:numPr>
        <w:spacing w:after="240"/>
        <w:rPr>
          <w:rFonts w:ascii="sans-serif" w:eastAsia="sans-serif" w:hAnsi="sans-serif" w:cs="sans-serif"/>
        </w:rPr>
      </w:pPr>
      <w:r w:rsidRPr="6130E1CA">
        <w:rPr>
          <w:rFonts w:ascii="sans-serif" w:eastAsia="sans-serif" w:hAnsi="sans-serif" w:cs="sans-serif"/>
        </w:rPr>
        <w:t xml:space="preserve">Docker Compose for local development. </w:t>
      </w:r>
    </w:p>
    <w:p w14:paraId="61939256" w14:textId="15FA556C" w:rsidR="009D7EA8" w:rsidRDefault="3554F9B7" w:rsidP="6130E1CA">
      <w:pPr>
        <w:pStyle w:val="Heading2"/>
        <w:spacing w:before="0" w:after="299"/>
      </w:pPr>
      <w:r w:rsidRPr="6130E1CA">
        <w:rPr>
          <w:rFonts w:ascii="sans-serif" w:eastAsia="sans-serif" w:hAnsi="sans-serif" w:cs="sans-serif"/>
          <w:b/>
          <w:bCs/>
          <w:sz w:val="36"/>
          <w:szCs w:val="36"/>
        </w:rPr>
        <w:lastRenderedPageBreak/>
        <w:t>2. Core Domain &amp; Object-Level Authorization</w:t>
      </w:r>
    </w:p>
    <w:p w14:paraId="3D27800E" w14:textId="297591D6" w:rsidR="009D7EA8" w:rsidRDefault="3554F9B7" w:rsidP="6130E1CA">
      <w:pPr>
        <w:spacing w:after="240"/>
      </w:pPr>
      <w:r w:rsidRPr="6130E1CA">
        <w:rPr>
          <w:rFonts w:ascii="sans-serif" w:eastAsia="sans-serif" w:hAnsi="sans-serif" w:cs="sans-serif"/>
        </w:rPr>
        <w:t>Use the following simplified roles:</w:t>
      </w:r>
    </w:p>
    <w:p w14:paraId="3CBE3B77" w14:textId="68014776" w:rsidR="009D7EA8" w:rsidRDefault="3554F9B7" w:rsidP="6130E1CA">
      <w:pPr>
        <w:pStyle w:val="ListParagraph"/>
        <w:numPr>
          <w:ilvl w:val="0"/>
          <w:numId w:val="12"/>
        </w:numPr>
        <w:spacing w:after="240"/>
        <w:rPr>
          <w:rFonts w:ascii="sans-serif" w:eastAsia="sans-serif" w:hAnsi="sans-serif" w:cs="sans-serif"/>
        </w:rPr>
      </w:pPr>
      <w:r w:rsidRPr="6130E1CA">
        <w:rPr>
          <w:rFonts w:ascii="sans-serif" w:eastAsia="sans-serif" w:hAnsi="sans-serif" w:cs="sans-serif"/>
          <w:b/>
          <w:bCs/>
        </w:rPr>
        <w:t>ADMIN</w:t>
      </w:r>
      <w:r w:rsidRPr="6130E1CA">
        <w:rPr>
          <w:rFonts w:ascii="sans-serif" w:eastAsia="sans-serif" w:hAnsi="sans-serif" w:cs="sans-serif"/>
        </w:rPr>
        <w:t xml:space="preserve"> — full operational access. </w:t>
      </w:r>
    </w:p>
    <w:p w14:paraId="19553EB8" w14:textId="53FB7E0E" w:rsidR="009D7EA8" w:rsidRDefault="3554F9B7" w:rsidP="6130E1CA">
      <w:pPr>
        <w:pStyle w:val="ListParagraph"/>
        <w:numPr>
          <w:ilvl w:val="0"/>
          <w:numId w:val="12"/>
        </w:numPr>
        <w:spacing w:after="240"/>
        <w:rPr>
          <w:rFonts w:ascii="sans-serif" w:eastAsia="sans-serif" w:hAnsi="sans-serif" w:cs="sans-serif"/>
        </w:rPr>
      </w:pPr>
      <w:r w:rsidRPr="6130E1CA">
        <w:rPr>
          <w:rFonts w:ascii="sans-serif" w:eastAsia="sans-serif" w:hAnsi="sans-serif" w:cs="sans-serif"/>
          <w:b/>
          <w:bCs/>
        </w:rPr>
        <w:t>REVIEWER</w:t>
      </w:r>
      <w:r w:rsidRPr="6130E1CA">
        <w:rPr>
          <w:rFonts w:ascii="sans-serif" w:eastAsia="sans-serif" w:hAnsi="sans-serif" w:cs="sans-serif"/>
        </w:rPr>
        <w:t xml:space="preserve"> — can review applications and make risk decisions. </w:t>
      </w:r>
    </w:p>
    <w:p w14:paraId="52952621" w14:textId="553BE031" w:rsidR="009D7EA8" w:rsidRDefault="3554F9B7" w:rsidP="6130E1CA">
      <w:pPr>
        <w:pStyle w:val="ListParagraph"/>
        <w:numPr>
          <w:ilvl w:val="0"/>
          <w:numId w:val="12"/>
        </w:numPr>
        <w:spacing w:after="240"/>
        <w:rPr>
          <w:rFonts w:ascii="sans-serif" w:eastAsia="sans-serif" w:hAnsi="sans-serif" w:cs="sans-serif"/>
        </w:rPr>
      </w:pPr>
      <w:r w:rsidRPr="6130E1CA">
        <w:rPr>
          <w:rFonts w:ascii="sans-serif" w:eastAsia="sans-serif" w:hAnsi="sans-serif" w:cs="sans-serif"/>
          <w:b/>
          <w:bCs/>
        </w:rPr>
        <w:t>SALES</w:t>
      </w:r>
      <w:r w:rsidRPr="6130E1CA">
        <w:rPr>
          <w:rFonts w:ascii="sans-serif" w:eastAsia="sans-serif" w:hAnsi="sans-serif" w:cs="sans-serif"/>
        </w:rPr>
        <w:t xml:space="preserve"> — can create and update merchant applications but cannot approve them. </w:t>
      </w:r>
    </w:p>
    <w:p w14:paraId="0D1EEE3F" w14:textId="6D762B94" w:rsidR="009D7EA8" w:rsidRDefault="3554F9B7" w:rsidP="6130E1CA">
      <w:pPr>
        <w:pStyle w:val="Heading3"/>
        <w:spacing w:before="0" w:after="281"/>
      </w:pPr>
      <w:r w:rsidRPr="6130E1CA">
        <w:rPr>
          <w:rFonts w:ascii="sans-serif" w:eastAsia="sans-serif" w:hAnsi="sans-serif" w:cs="sans-serif"/>
          <w:b/>
          <w:bCs/>
        </w:rPr>
        <w:t>Object-Level Authorization Rules:</w:t>
      </w:r>
    </w:p>
    <w:p w14:paraId="0687A8AA" w14:textId="70B712E0" w:rsidR="009D7EA8" w:rsidRDefault="3554F9B7" w:rsidP="6130E1CA">
      <w:pPr>
        <w:pStyle w:val="ListParagraph"/>
        <w:numPr>
          <w:ilvl w:val="0"/>
          <w:numId w:val="11"/>
        </w:numPr>
        <w:spacing w:after="240"/>
        <w:rPr>
          <w:rFonts w:ascii="sans-serif" w:eastAsia="sans-serif" w:hAnsi="sans-serif" w:cs="sans-serif"/>
        </w:rPr>
      </w:pPr>
      <w:r w:rsidRPr="6130E1CA">
        <w:rPr>
          <w:rFonts w:ascii="sans-serif" w:eastAsia="sans-serif" w:hAnsi="sans-serif" w:cs="sans-serif"/>
          <w:b/>
          <w:bCs/>
        </w:rPr>
        <w:t>SALES users</w:t>
      </w:r>
      <w:r w:rsidRPr="6130E1CA">
        <w:rPr>
          <w:rFonts w:ascii="sans-serif" w:eastAsia="sans-serif" w:hAnsi="sans-serif" w:cs="sans-serif"/>
        </w:rPr>
        <w:t xml:space="preserve"> may view and edit </w:t>
      </w:r>
      <w:r w:rsidRPr="6130E1CA">
        <w:rPr>
          <w:rFonts w:ascii="sans-serif" w:eastAsia="sans-serif" w:hAnsi="sans-serif" w:cs="sans-serif"/>
          <w:i/>
          <w:iCs/>
        </w:rPr>
        <w:t>only</w:t>
      </w:r>
      <w:r w:rsidRPr="6130E1CA">
        <w:rPr>
          <w:rFonts w:ascii="sans-serif" w:eastAsia="sans-serif" w:hAnsi="sans-serif" w:cs="sans-serif"/>
        </w:rPr>
        <w:t xml:space="preserve"> the applications they created. Integration tests must explicitly verify that a SALES user cannot read or change another user's application by ID. </w:t>
      </w:r>
    </w:p>
    <w:p w14:paraId="6F7D7818" w14:textId="255E46FB" w:rsidR="009D7EA8" w:rsidRDefault="3554F9B7" w:rsidP="6130E1CA">
      <w:pPr>
        <w:pStyle w:val="ListParagraph"/>
        <w:numPr>
          <w:ilvl w:val="0"/>
          <w:numId w:val="11"/>
        </w:numPr>
        <w:spacing w:after="240"/>
        <w:rPr>
          <w:rFonts w:ascii="sans-serif" w:eastAsia="sans-serif" w:hAnsi="sans-serif" w:cs="sans-serif"/>
        </w:rPr>
      </w:pPr>
      <w:r w:rsidRPr="6130E1CA">
        <w:rPr>
          <w:rFonts w:ascii="sans-serif" w:eastAsia="sans-serif" w:hAnsi="sans-serif" w:cs="sans-serif"/>
          <w:b/>
          <w:bCs/>
        </w:rPr>
        <w:t>Only the assigned REVIEWER</w:t>
      </w:r>
      <w:r w:rsidRPr="6130E1CA">
        <w:rPr>
          <w:rFonts w:ascii="sans-serif" w:eastAsia="sans-serif" w:hAnsi="sans-serif" w:cs="sans-serif"/>
        </w:rPr>
        <w:t xml:space="preserve"> may record a risk decision on an application.</w:t>
      </w:r>
    </w:p>
    <w:p w14:paraId="13EEA185" w14:textId="0A65B581" w:rsidR="009D7EA8" w:rsidRDefault="3554F9B7" w:rsidP="6130E1CA">
      <w:pPr>
        <w:spacing w:after="240"/>
      </w:pPr>
      <w:r w:rsidRPr="6130E1CA">
        <w:rPr>
          <w:rFonts w:ascii="sans-serif" w:eastAsia="sans-serif" w:hAnsi="sans-serif" w:cs="sans-serif"/>
        </w:rPr>
        <w:t xml:space="preserve">A merchant application contains, at minimum: business name, legal business name, business type, owner/contact information, requested processing information, application status, risk status, timestamps, and assigned reviewer. </w:t>
      </w:r>
    </w:p>
    <w:p w14:paraId="42F773E1" w14:textId="6AABAD8F" w:rsidR="009D7EA8" w:rsidRDefault="3554F9B7" w:rsidP="6130E1CA">
      <w:pPr>
        <w:pStyle w:val="Heading2"/>
        <w:spacing w:before="0" w:after="299"/>
      </w:pPr>
      <w:r w:rsidRPr="6130E1CA">
        <w:rPr>
          <w:rFonts w:ascii="sans-serif" w:eastAsia="sans-serif" w:hAnsi="sans-serif" w:cs="sans-serif"/>
          <w:b/>
          <w:bCs/>
          <w:sz w:val="36"/>
          <w:szCs w:val="36"/>
        </w:rPr>
        <w:t>3. Required Functionality (6–8 Hour Core)</w:t>
      </w:r>
    </w:p>
    <w:p w14:paraId="19ED3B59" w14:textId="503CFA17" w:rsidR="009D7EA8" w:rsidRDefault="3554F9B7" w:rsidP="6130E1CA">
      <w:pPr>
        <w:pStyle w:val="ListParagraph"/>
        <w:numPr>
          <w:ilvl w:val="0"/>
          <w:numId w:val="10"/>
        </w:numPr>
        <w:spacing w:after="240"/>
        <w:rPr>
          <w:rFonts w:ascii="sans-serif" w:eastAsia="sans-serif" w:hAnsi="sans-serif" w:cs="sans-serif"/>
        </w:rPr>
      </w:pPr>
      <w:r w:rsidRPr="6130E1CA">
        <w:rPr>
          <w:rFonts w:ascii="sans-serif" w:eastAsia="sans-serif" w:hAnsi="sans-serif" w:cs="sans-serif"/>
          <w:b/>
          <w:bCs/>
        </w:rPr>
        <w:t>A. Authentication &amp; Authorization:</w:t>
      </w:r>
      <w:r w:rsidRPr="6130E1CA">
        <w:rPr>
          <w:rFonts w:ascii="sans-serif" w:eastAsia="sans-serif" w:hAnsi="sans-serif" w:cs="sans-serif"/>
        </w:rPr>
        <w:t xml:space="preserve"> Implement login/token issuance, JWT route protection, role/policy checks, and strict object-level isolation for SALES users. </w:t>
      </w:r>
    </w:p>
    <w:p w14:paraId="59A3209F" w14:textId="64E0F173" w:rsidR="009D7EA8" w:rsidRDefault="3554F9B7" w:rsidP="6130E1CA">
      <w:pPr>
        <w:pStyle w:val="ListParagraph"/>
        <w:numPr>
          <w:ilvl w:val="0"/>
          <w:numId w:val="10"/>
        </w:numPr>
        <w:spacing w:after="240"/>
        <w:rPr>
          <w:rFonts w:ascii="sans-serif" w:eastAsia="sans-serif" w:hAnsi="sans-serif" w:cs="sans-serif"/>
        </w:rPr>
      </w:pPr>
      <w:r w:rsidRPr="6130E1CA">
        <w:rPr>
          <w:rFonts w:ascii="sans-serif" w:eastAsia="sans-serif" w:hAnsi="sans-serif" w:cs="sans-serif"/>
          <w:b/>
          <w:bCs/>
        </w:rPr>
        <w:t>B. Merchant Application Lifecycle:</w:t>
      </w:r>
      <w:r w:rsidRPr="6130E1CA">
        <w:rPr>
          <w:rFonts w:ascii="sans-serif" w:eastAsia="sans-serif" w:hAnsi="sans-serif" w:cs="sans-serif"/>
        </w:rPr>
        <w:t xml:space="preserve"> Create, update (while editable), retrieve, list (with status filtering and pagination), assign to a reviewer, and allow a reviewer to approve/reject/request info while preventing invalid state transitions. </w:t>
      </w:r>
    </w:p>
    <w:p w14:paraId="74B50A24" w14:textId="0465603B" w:rsidR="009D7EA8" w:rsidRDefault="3554F9B7" w:rsidP="6130E1CA">
      <w:pPr>
        <w:pStyle w:val="ListParagraph"/>
        <w:numPr>
          <w:ilvl w:val="0"/>
          <w:numId w:val="10"/>
        </w:numPr>
        <w:spacing w:after="240"/>
        <w:rPr>
          <w:rFonts w:ascii="sans-serif" w:eastAsia="sans-serif" w:hAnsi="sans-serif" w:cs="sans-serif"/>
        </w:rPr>
      </w:pPr>
      <w:r w:rsidRPr="6130E1CA">
        <w:rPr>
          <w:rFonts w:ascii="sans-serif" w:eastAsia="sans-serif" w:hAnsi="sans-serif" w:cs="sans-serif"/>
          <w:b/>
          <w:bCs/>
        </w:rPr>
        <w:t>C. Asynchronous Risk Review:</w:t>
      </w:r>
      <w:r w:rsidRPr="6130E1CA">
        <w:rPr>
          <w:rFonts w:ascii="sans-serif" w:eastAsia="sans-serif" w:hAnsi="sans-serif" w:cs="sans-serif"/>
        </w:rPr>
        <w:t xml:space="preserve"> </w:t>
      </w:r>
      <w:proofErr w:type="gramStart"/>
      <w:r w:rsidRPr="6130E1CA">
        <w:rPr>
          <w:rFonts w:ascii="sans-serif" w:eastAsia="sans-serif" w:hAnsi="sans-serif" w:cs="sans-serif"/>
        </w:rPr>
        <w:t>Submitting an application</w:t>
      </w:r>
      <w:proofErr w:type="gramEnd"/>
      <w:r w:rsidRPr="6130E1CA">
        <w:rPr>
          <w:rFonts w:ascii="sans-serif" w:eastAsia="sans-serif" w:hAnsi="sans-serif" w:cs="sans-serif"/>
        </w:rPr>
        <w:t xml:space="preserve"> enqueues a background job via BullMQ. The worker simulates a third-party risk/KYB response, persists results, updates state, implements retries with backoff, and ensures idempotency. </w:t>
      </w:r>
    </w:p>
    <w:p w14:paraId="68000247" w14:textId="7F7C4E68" w:rsidR="009D7EA8" w:rsidRDefault="3554F9B7" w:rsidP="6130E1CA">
      <w:pPr>
        <w:pStyle w:val="ListParagraph"/>
        <w:numPr>
          <w:ilvl w:val="0"/>
          <w:numId w:val="10"/>
        </w:numPr>
        <w:spacing w:after="240"/>
        <w:rPr>
          <w:rFonts w:ascii="sans-serif" w:eastAsia="sans-serif" w:hAnsi="sans-serif" w:cs="sans-serif"/>
        </w:rPr>
      </w:pPr>
      <w:r w:rsidRPr="6130E1CA">
        <w:rPr>
          <w:rFonts w:ascii="sans-serif" w:eastAsia="sans-serif" w:hAnsi="sans-serif" w:cs="sans-serif"/>
          <w:b/>
          <w:bCs/>
        </w:rPr>
        <w:t>E. Audit Trail &amp; Sensitive Data:</w:t>
      </w:r>
      <w:r w:rsidRPr="6130E1CA">
        <w:rPr>
          <w:rFonts w:ascii="sans-serif" w:eastAsia="sans-serif" w:hAnsi="sans-serif" w:cs="sans-serif"/>
        </w:rPr>
        <w:t xml:space="preserve"> Record significant actions (creation, assignment, review decision). Do not log passwords, tokens, or raw secrets. Mask/redact sensitive fields and document fields requiring field-level encryption. </w:t>
      </w:r>
    </w:p>
    <w:p w14:paraId="44E828BC" w14:textId="2C4B1DA1" w:rsidR="009D7EA8" w:rsidRDefault="3554F9B7" w:rsidP="6130E1CA">
      <w:pPr>
        <w:spacing w:after="240"/>
      </w:pPr>
      <w:r w:rsidRPr="6130E1CA">
        <w:rPr>
          <w:rFonts w:ascii="sans-serif" w:eastAsia="sans-serif" w:hAnsi="sans-serif" w:cs="sans-serif"/>
          <w:b/>
          <w:bCs/>
        </w:rPr>
        <w:t>Optional Enhancements (Skip unless core is fully completed):</w:t>
      </w:r>
    </w:p>
    <w:p w14:paraId="4887EBE2" w14:textId="47EBA5D8" w:rsidR="009D7EA8" w:rsidRDefault="3554F9B7" w:rsidP="6130E1CA">
      <w:pPr>
        <w:pStyle w:val="ListParagraph"/>
        <w:numPr>
          <w:ilvl w:val="0"/>
          <w:numId w:val="9"/>
        </w:numPr>
        <w:spacing w:after="240"/>
        <w:rPr>
          <w:rFonts w:ascii="sans-serif" w:eastAsia="sans-serif" w:hAnsi="sans-serif" w:cs="sans-serif"/>
        </w:rPr>
      </w:pPr>
      <w:r w:rsidRPr="6130E1CA">
        <w:rPr>
          <w:rFonts w:ascii="sans-serif" w:eastAsia="sans-serif" w:hAnsi="sans-serif" w:cs="sans-serif"/>
        </w:rPr>
        <w:t xml:space="preserve">Webhook integration (3D callback with signature validation and idempotency). </w:t>
      </w:r>
    </w:p>
    <w:p w14:paraId="3ECEC4E6" w14:textId="54C82860" w:rsidR="009D7EA8" w:rsidRDefault="3554F9B7" w:rsidP="6130E1CA">
      <w:pPr>
        <w:pStyle w:val="ListParagraph"/>
        <w:numPr>
          <w:ilvl w:val="0"/>
          <w:numId w:val="9"/>
        </w:numPr>
        <w:spacing w:after="240"/>
        <w:rPr>
          <w:rFonts w:ascii="sans-serif" w:eastAsia="sans-serif" w:hAnsi="sans-serif" w:cs="sans-serif"/>
        </w:rPr>
      </w:pPr>
      <w:r w:rsidRPr="6130E1CA">
        <w:rPr>
          <w:rFonts w:ascii="sans-serif" w:eastAsia="sans-serif" w:hAnsi="sans-serif" w:cs="sans-serif"/>
        </w:rPr>
        <w:t xml:space="preserve">MongoDB integration for audit storage. </w:t>
      </w:r>
    </w:p>
    <w:p w14:paraId="038E8A24" w14:textId="51978324" w:rsidR="009D7EA8" w:rsidRDefault="3554F9B7" w:rsidP="6130E1CA">
      <w:pPr>
        <w:pStyle w:val="ListParagraph"/>
        <w:numPr>
          <w:ilvl w:val="0"/>
          <w:numId w:val="9"/>
        </w:numPr>
        <w:spacing w:after="240"/>
        <w:rPr>
          <w:rFonts w:ascii="sans-serif" w:eastAsia="sans-serif" w:hAnsi="sans-serif" w:cs="sans-serif"/>
        </w:rPr>
      </w:pPr>
      <w:r w:rsidRPr="6130E1CA">
        <w:rPr>
          <w:rFonts w:ascii="sans-serif" w:eastAsia="sans-serif" w:hAnsi="sans-serif" w:cs="sans-serif"/>
        </w:rPr>
        <w:t xml:space="preserve">A separate Architecture Decision Record (ADR). </w:t>
      </w:r>
    </w:p>
    <w:p w14:paraId="6490A64B" w14:textId="055D9C32" w:rsidR="009D7EA8" w:rsidRDefault="3554F9B7" w:rsidP="6130E1CA">
      <w:pPr>
        <w:pStyle w:val="Heading2"/>
        <w:spacing w:before="0" w:after="299"/>
      </w:pPr>
      <w:r w:rsidRPr="6130E1CA">
        <w:rPr>
          <w:rFonts w:ascii="sans-serif" w:eastAsia="sans-serif" w:hAnsi="sans-serif" w:cs="sans-serif"/>
          <w:b/>
          <w:bCs/>
          <w:sz w:val="36"/>
          <w:szCs w:val="36"/>
        </w:rPr>
        <w:lastRenderedPageBreak/>
        <w:t>4. Testing Requirements</w:t>
      </w:r>
    </w:p>
    <w:p w14:paraId="638DBAFC" w14:textId="2B65DEBE" w:rsidR="009D7EA8" w:rsidRDefault="3554F9B7" w:rsidP="6130E1CA">
      <w:pPr>
        <w:pStyle w:val="ListParagraph"/>
        <w:numPr>
          <w:ilvl w:val="0"/>
          <w:numId w:val="8"/>
        </w:numPr>
        <w:spacing w:after="240"/>
        <w:rPr>
          <w:rFonts w:ascii="sans-serif" w:eastAsia="sans-serif" w:hAnsi="sans-serif" w:cs="sans-serif"/>
        </w:rPr>
      </w:pPr>
      <w:r w:rsidRPr="6130E1CA">
        <w:rPr>
          <w:rFonts w:ascii="sans-serif" w:eastAsia="sans-serif" w:hAnsi="sans-serif" w:cs="sans-serif"/>
        </w:rPr>
        <w:t xml:space="preserve">Meaningful unit tests for core business rules. </w:t>
      </w:r>
    </w:p>
    <w:p w14:paraId="3F4E5F97" w14:textId="0C28DA0B" w:rsidR="009D7EA8" w:rsidRDefault="3554F9B7" w:rsidP="6130E1CA">
      <w:pPr>
        <w:pStyle w:val="ListParagraph"/>
        <w:numPr>
          <w:ilvl w:val="0"/>
          <w:numId w:val="8"/>
        </w:numPr>
        <w:spacing w:after="240"/>
        <w:rPr>
          <w:rFonts w:ascii="sans-serif" w:eastAsia="sans-serif" w:hAnsi="sans-serif" w:cs="sans-serif"/>
        </w:rPr>
      </w:pPr>
      <w:r w:rsidRPr="6130E1CA">
        <w:rPr>
          <w:rFonts w:ascii="sans-serif" w:eastAsia="sans-serif" w:hAnsi="sans-serif" w:cs="sans-serif"/>
        </w:rPr>
        <w:t xml:space="preserve">Integration/API tests covering authentication, lifecycle transitions, risk processing, and </w:t>
      </w:r>
      <w:r w:rsidRPr="6130E1CA">
        <w:rPr>
          <w:rFonts w:ascii="sans-serif" w:eastAsia="sans-serif" w:hAnsi="sans-serif" w:cs="sans-serif"/>
          <w:b/>
          <w:bCs/>
        </w:rPr>
        <w:t>explicitly demonstrating that authorization rules cannot be bypassed</w:t>
      </w:r>
      <w:r w:rsidRPr="6130E1CA">
        <w:rPr>
          <w:rFonts w:ascii="sans-serif" w:eastAsia="sans-serif" w:hAnsi="sans-serif" w:cs="sans-serif"/>
        </w:rPr>
        <w:t xml:space="preserve">. </w:t>
      </w:r>
    </w:p>
    <w:p w14:paraId="7574A467" w14:textId="5160289E" w:rsidR="009D7EA8" w:rsidRDefault="3554F9B7" w:rsidP="6130E1CA">
      <w:pPr>
        <w:pStyle w:val="Heading2"/>
        <w:spacing w:before="0" w:after="299"/>
      </w:pPr>
      <w:r w:rsidRPr="6130E1CA">
        <w:rPr>
          <w:rFonts w:ascii="sans-serif" w:eastAsia="sans-serif" w:hAnsi="sans-serif" w:cs="sans-serif"/>
          <w:b/>
          <w:bCs/>
          <w:sz w:val="36"/>
          <w:szCs w:val="36"/>
        </w:rPr>
        <w:t>5. Evaluation Rubric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5342"/>
        <w:gridCol w:w="1150"/>
      </w:tblGrid>
      <w:tr w:rsidR="6130E1CA" w14:paraId="7B15FEA3" w14:textId="77777777" w:rsidTr="6130E1CA">
        <w:trPr>
          <w:trHeight w:val="300"/>
        </w:trPr>
        <w:tc>
          <w:tcPr>
            <w:tcW w:w="534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9AF2AF" w14:textId="74548DD2" w:rsidR="6130E1CA" w:rsidRDefault="6130E1CA" w:rsidP="6130E1CA">
            <w:pPr>
              <w:spacing w:after="0"/>
            </w:pPr>
            <w:r w:rsidRPr="6130E1CA">
              <w:rPr>
                <w:rFonts w:ascii="sans-serif" w:eastAsia="sans-serif" w:hAnsi="sans-serif" w:cs="sans-serif"/>
                <w:b/>
                <w:bCs/>
              </w:rPr>
              <w:t>Area</w:t>
            </w:r>
          </w:p>
        </w:tc>
        <w:tc>
          <w:tcPr>
            <w:tcW w:w="1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A36806" w14:textId="2D77320A" w:rsidR="6130E1CA" w:rsidRDefault="6130E1CA" w:rsidP="6130E1CA">
            <w:pPr>
              <w:spacing w:after="0"/>
            </w:pPr>
            <w:r w:rsidRPr="6130E1CA">
              <w:rPr>
                <w:rFonts w:ascii="sans-serif" w:eastAsia="sans-serif" w:hAnsi="sans-serif" w:cs="sans-serif"/>
                <w:b/>
                <w:bCs/>
              </w:rPr>
              <w:t>Weight</w:t>
            </w:r>
          </w:p>
        </w:tc>
      </w:tr>
      <w:tr w:rsidR="6130E1CA" w14:paraId="5AFC09AF" w14:textId="77777777" w:rsidTr="6130E1CA">
        <w:trPr>
          <w:trHeight w:val="300"/>
        </w:trPr>
        <w:tc>
          <w:tcPr>
            <w:tcW w:w="534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23C257" w14:textId="2214DDBC" w:rsidR="6130E1CA" w:rsidRDefault="6130E1CA" w:rsidP="6130E1CA">
            <w:pPr>
              <w:spacing w:after="0"/>
            </w:pPr>
            <w:r w:rsidRPr="6130E1CA">
              <w:rPr>
                <w:rFonts w:ascii="sans-serif" w:eastAsia="sans-serif" w:hAnsi="sans-serif" w:cs="sans-serif"/>
                <w:b/>
                <w:bCs/>
              </w:rPr>
              <w:t>NestJS architecture &amp; TypeScript quality</w:t>
            </w:r>
          </w:p>
        </w:tc>
        <w:tc>
          <w:tcPr>
            <w:tcW w:w="1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EE0824" w14:textId="18C2D393" w:rsidR="6130E1CA" w:rsidRDefault="6130E1CA" w:rsidP="6130E1CA">
            <w:pPr>
              <w:spacing w:after="0"/>
            </w:pPr>
            <w:r w:rsidRPr="6130E1CA">
              <w:rPr>
                <w:rFonts w:ascii="sans-serif" w:eastAsia="sans-serif" w:hAnsi="sans-serif" w:cs="sans-serif"/>
              </w:rPr>
              <w:t xml:space="preserve">15% </w:t>
            </w:r>
          </w:p>
        </w:tc>
      </w:tr>
      <w:tr w:rsidR="6130E1CA" w14:paraId="1287F27B" w14:textId="77777777" w:rsidTr="6130E1CA">
        <w:trPr>
          <w:trHeight w:val="300"/>
        </w:trPr>
        <w:tc>
          <w:tcPr>
            <w:tcW w:w="534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2186FD" w14:textId="76413EE5" w:rsidR="6130E1CA" w:rsidRDefault="6130E1CA" w:rsidP="6130E1CA">
            <w:pPr>
              <w:spacing w:after="0"/>
            </w:pPr>
            <w:r w:rsidRPr="6130E1CA">
              <w:rPr>
                <w:rFonts w:ascii="sans-serif" w:eastAsia="sans-serif" w:hAnsi="sans-serif" w:cs="sans-serif"/>
                <w:b/>
                <w:bCs/>
              </w:rPr>
              <w:t>API/domain design &amp; business rules</w:t>
            </w:r>
          </w:p>
        </w:tc>
        <w:tc>
          <w:tcPr>
            <w:tcW w:w="1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EA007E" w14:textId="2DB1827F" w:rsidR="6130E1CA" w:rsidRDefault="6130E1CA" w:rsidP="6130E1CA">
            <w:pPr>
              <w:spacing w:after="0"/>
            </w:pPr>
            <w:r w:rsidRPr="6130E1CA">
              <w:rPr>
                <w:rFonts w:ascii="sans-serif" w:eastAsia="sans-serif" w:hAnsi="sans-serif" w:cs="sans-serif"/>
              </w:rPr>
              <w:t xml:space="preserve">15% </w:t>
            </w:r>
          </w:p>
        </w:tc>
      </w:tr>
      <w:tr w:rsidR="6130E1CA" w14:paraId="00DA72A9" w14:textId="77777777" w:rsidTr="6130E1CA">
        <w:trPr>
          <w:trHeight w:val="300"/>
        </w:trPr>
        <w:tc>
          <w:tcPr>
            <w:tcW w:w="534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3A9B06" w14:textId="50328D5E" w:rsidR="6130E1CA" w:rsidRDefault="6130E1CA" w:rsidP="6130E1CA">
            <w:pPr>
              <w:spacing w:after="0"/>
            </w:pPr>
            <w:r w:rsidRPr="6130E1CA">
              <w:rPr>
                <w:rFonts w:ascii="sans-serif" w:eastAsia="sans-serif" w:hAnsi="sans-serif" w:cs="sans-serif"/>
                <w:b/>
                <w:bCs/>
              </w:rPr>
              <w:t>PostgreSQL/ORM/data modeling</w:t>
            </w:r>
          </w:p>
        </w:tc>
        <w:tc>
          <w:tcPr>
            <w:tcW w:w="1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7282C3" w14:textId="73FEFB28" w:rsidR="6130E1CA" w:rsidRDefault="6130E1CA" w:rsidP="6130E1CA">
            <w:pPr>
              <w:spacing w:after="0"/>
            </w:pPr>
            <w:r w:rsidRPr="6130E1CA">
              <w:rPr>
                <w:rFonts w:ascii="sans-serif" w:eastAsia="sans-serif" w:hAnsi="sans-serif" w:cs="sans-serif"/>
              </w:rPr>
              <w:t xml:space="preserve">15% </w:t>
            </w:r>
          </w:p>
        </w:tc>
      </w:tr>
      <w:tr w:rsidR="6130E1CA" w14:paraId="3053DBAB" w14:textId="77777777" w:rsidTr="6130E1CA">
        <w:trPr>
          <w:trHeight w:val="300"/>
        </w:trPr>
        <w:tc>
          <w:tcPr>
            <w:tcW w:w="534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1EDBA9" w14:textId="1FAD2033" w:rsidR="6130E1CA" w:rsidRDefault="6130E1CA" w:rsidP="6130E1CA">
            <w:pPr>
              <w:spacing w:after="0"/>
            </w:pPr>
            <w:r w:rsidRPr="6130E1CA">
              <w:rPr>
                <w:rFonts w:ascii="sans-serif" w:eastAsia="sans-serif" w:hAnsi="sans-serif" w:cs="sans-serif"/>
                <w:b/>
                <w:bCs/>
              </w:rPr>
              <w:t>Async processing, idempotency &amp; reliability</w:t>
            </w:r>
          </w:p>
        </w:tc>
        <w:tc>
          <w:tcPr>
            <w:tcW w:w="1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48EE84" w14:textId="32340FD0" w:rsidR="6130E1CA" w:rsidRDefault="6130E1CA" w:rsidP="6130E1CA">
            <w:pPr>
              <w:spacing w:after="0"/>
            </w:pPr>
            <w:r w:rsidRPr="6130E1CA">
              <w:rPr>
                <w:rFonts w:ascii="sans-serif" w:eastAsia="sans-serif" w:hAnsi="sans-serif" w:cs="sans-serif"/>
              </w:rPr>
              <w:t xml:space="preserve">15% </w:t>
            </w:r>
          </w:p>
        </w:tc>
      </w:tr>
      <w:tr w:rsidR="6130E1CA" w14:paraId="1BC85366" w14:textId="77777777" w:rsidTr="6130E1CA">
        <w:trPr>
          <w:trHeight w:val="300"/>
        </w:trPr>
        <w:tc>
          <w:tcPr>
            <w:tcW w:w="534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63D4E1" w14:textId="3EC3C9F9" w:rsidR="6130E1CA" w:rsidRDefault="6130E1CA" w:rsidP="6130E1CA">
            <w:pPr>
              <w:spacing w:after="0"/>
            </w:pPr>
            <w:r w:rsidRPr="6130E1CA">
              <w:rPr>
                <w:rFonts w:ascii="sans-serif" w:eastAsia="sans-serif" w:hAnsi="sans-serif" w:cs="sans-serif"/>
                <w:b/>
                <w:bCs/>
              </w:rPr>
              <w:t>Security &amp; object-level authorization</w:t>
            </w:r>
          </w:p>
        </w:tc>
        <w:tc>
          <w:tcPr>
            <w:tcW w:w="1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85F264" w14:textId="1D1C53F6" w:rsidR="6130E1CA" w:rsidRDefault="6130E1CA" w:rsidP="6130E1CA">
            <w:pPr>
              <w:spacing w:after="0"/>
            </w:pPr>
            <w:r w:rsidRPr="6130E1CA">
              <w:rPr>
                <w:rFonts w:ascii="sans-serif" w:eastAsia="sans-serif" w:hAnsi="sans-serif" w:cs="sans-serif"/>
              </w:rPr>
              <w:t xml:space="preserve">15% </w:t>
            </w:r>
          </w:p>
        </w:tc>
      </w:tr>
      <w:tr w:rsidR="6130E1CA" w14:paraId="7E92D6E4" w14:textId="77777777" w:rsidTr="6130E1CA">
        <w:trPr>
          <w:trHeight w:val="300"/>
        </w:trPr>
        <w:tc>
          <w:tcPr>
            <w:tcW w:w="534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0B8D61" w14:textId="3AEE9144" w:rsidR="6130E1CA" w:rsidRDefault="6130E1CA" w:rsidP="6130E1CA">
            <w:pPr>
              <w:spacing w:after="0"/>
            </w:pPr>
            <w:r w:rsidRPr="6130E1CA">
              <w:rPr>
                <w:rFonts w:ascii="sans-serif" w:eastAsia="sans-serif" w:hAnsi="sans-serif" w:cs="sans-serif"/>
                <w:b/>
                <w:bCs/>
              </w:rPr>
              <w:t>Testing quality</w:t>
            </w:r>
          </w:p>
        </w:tc>
        <w:tc>
          <w:tcPr>
            <w:tcW w:w="1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95B20E" w14:textId="41A408DE" w:rsidR="6130E1CA" w:rsidRDefault="6130E1CA" w:rsidP="6130E1CA">
            <w:pPr>
              <w:spacing w:after="0"/>
            </w:pPr>
            <w:r w:rsidRPr="6130E1CA">
              <w:rPr>
                <w:rFonts w:ascii="sans-serif" w:eastAsia="sans-serif" w:hAnsi="sans-serif" w:cs="sans-serif"/>
              </w:rPr>
              <w:t xml:space="preserve">15% </w:t>
            </w:r>
          </w:p>
        </w:tc>
      </w:tr>
      <w:tr w:rsidR="6130E1CA" w14:paraId="2E6DFAE5" w14:textId="77777777" w:rsidTr="6130E1CA">
        <w:trPr>
          <w:trHeight w:val="300"/>
        </w:trPr>
        <w:tc>
          <w:tcPr>
            <w:tcW w:w="534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57882B" w14:textId="35F23E3D" w:rsidR="6130E1CA" w:rsidRDefault="6130E1CA" w:rsidP="6130E1CA">
            <w:pPr>
              <w:spacing w:after="0"/>
            </w:pPr>
            <w:r w:rsidRPr="6130E1CA">
              <w:rPr>
                <w:rFonts w:ascii="sans-serif" w:eastAsia="sans-serif" w:hAnsi="sans-serif" w:cs="sans-serif"/>
                <w:b/>
                <w:bCs/>
              </w:rPr>
              <w:t>Documentation, trade-offs &amp; code quality</w:t>
            </w:r>
          </w:p>
        </w:tc>
        <w:tc>
          <w:tcPr>
            <w:tcW w:w="1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61F7C4" w14:textId="2104EC9F" w:rsidR="6130E1CA" w:rsidRDefault="6130E1CA" w:rsidP="6130E1CA">
            <w:pPr>
              <w:spacing w:after="0"/>
            </w:pPr>
            <w:r w:rsidRPr="6130E1CA">
              <w:rPr>
                <w:rFonts w:ascii="sans-serif" w:eastAsia="sans-serif" w:hAnsi="sans-serif" w:cs="sans-serif"/>
              </w:rPr>
              <w:t xml:space="preserve">10% </w:t>
            </w:r>
          </w:p>
        </w:tc>
      </w:tr>
    </w:tbl>
    <w:p w14:paraId="7167D5C2" w14:textId="316FAF13" w:rsidR="009D7EA8" w:rsidRDefault="03262EC6" w:rsidP="6130E1CA">
      <w:pPr>
        <w:pStyle w:val="Heading2"/>
        <w:spacing w:before="0" w:after="299"/>
      </w:pPr>
      <w:r w:rsidRPr="6130E1CA">
        <w:rPr>
          <w:rFonts w:ascii="sans-serif" w:eastAsia="sans-serif" w:hAnsi="sans-serif" w:cs="sans-serif"/>
          <w:b/>
          <w:bCs/>
          <w:sz w:val="36"/>
          <w:szCs w:val="36"/>
        </w:rPr>
        <w:t>6. Submission Guidelines</w:t>
      </w:r>
    </w:p>
    <w:p w14:paraId="420F3880" w14:textId="2E783680" w:rsidR="009D7EA8" w:rsidRDefault="03262EC6" w:rsidP="6130E1CA">
      <w:pPr>
        <w:pStyle w:val="ListParagraph"/>
        <w:numPr>
          <w:ilvl w:val="0"/>
          <w:numId w:val="7"/>
        </w:numPr>
        <w:spacing w:after="240"/>
        <w:rPr>
          <w:rFonts w:ascii="sans-serif" w:eastAsia="sans-serif" w:hAnsi="sans-serif" w:cs="sans-serif"/>
        </w:rPr>
      </w:pPr>
      <w:r w:rsidRPr="6130E1CA">
        <w:rPr>
          <w:rFonts w:ascii="sans-serif" w:eastAsia="sans-serif" w:hAnsi="sans-serif" w:cs="sans-serif"/>
          <w:b/>
          <w:bCs/>
        </w:rPr>
        <w:t>Time-Box &amp; Schedule:</w:t>
      </w:r>
      <w:r w:rsidRPr="6130E1CA">
        <w:rPr>
          <w:rFonts w:ascii="sans-serif" w:eastAsia="sans-serif" w:hAnsi="sans-serif" w:cs="sans-serif"/>
        </w:rPr>
        <w:t xml:space="preserve"> Maximum expected effort is 6-8 hours, returned within 5 calendar days. Deadlines are flexibly adjusted around the Dashain holiday window. </w:t>
      </w:r>
    </w:p>
    <w:p w14:paraId="51D7635A" w14:textId="235678C9" w:rsidR="009D7EA8" w:rsidRDefault="03262EC6" w:rsidP="6130E1CA">
      <w:pPr>
        <w:pStyle w:val="ListParagraph"/>
        <w:numPr>
          <w:ilvl w:val="0"/>
          <w:numId w:val="7"/>
        </w:numPr>
        <w:spacing w:after="240"/>
        <w:rPr>
          <w:rFonts w:ascii="sans-serif" w:eastAsia="sans-serif" w:hAnsi="sans-serif" w:cs="sans-serif"/>
        </w:rPr>
      </w:pPr>
      <w:r w:rsidRPr="6130E1CA">
        <w:rPr>
          <w:rFonts w:ascii="sans-serif" w:eastAsia="sans-serif" w:hAnsi="sans-serif" w:cs="sans-serif"/>
          <w:b/>
          <w:bCs/>
        </w:rPr>
        <w:t>Repository:</w:t>
      </w:r>
      <w:r w:rsidRPr="6130E1CA">
        <w:rPr>
          <w:rFonts w:ascii="sans-serif" w:eastAsia="sans-serif" w:hAnsi="sans-serif" w:cs="sans-serif"/>
        </w:rPr>
        <w:t xml:space="preserve"> Create a private GitHub repository containing complete source code, tests, migrations, and documentation. Grant access to reviewers, including </w:t>
      </w:r>
      <w:r w:rsidRPr="6130E1CA">
        <w:rPr>
          <w:rFonts w:ascii="sans-serif" w:eastAsia="sans-serif" w:hAnsi="sans-serif" w:cs="sans-serif"/>
          <w:b/>
          <w:bCs/>
        </w:rPr>
        <w:t>@lbaral-vp</w:t>
      </w:r>
      <w:r w:rsidRPr="6130E1CA">
        <w:rPr>
          <w:rFonts w:ascii="sans-serif" w:eastAsia="sans-serif" w:hAnsi="sans-serif" w:cs="sans-serif"/>
        </w:rPr>
        <w:t xml:space="preserve">. </w:t>
      </w:r>
    </w:p>
    <w:p w14:paraId="105467BE" w14:textId="1D3A33E4" w:rsidR="009D7EA8" w:rsidRDefault="03262EC6" w:rsidP="6130E1CA">
      <w:pPr>
        <w:pStyle w:val="ListParagraph"/>
        <w:numPr>
          <w:ilvl w:val="0"/>
          <w:numId w:val="7"/>
        </w:numPr>
        <w:spacing w:after="240"/>
        <w:rPr>
          <w:rFonts w:ascii="sans-serif" w:eastAsia="sans-serif" w:hAnsi="sans-serif" w:cs="sans-serif"/>
        </w:rPr>
      </w:pPr>
      <w:r w:rsidRPr="6130E1CA">
        <w:rPr>
          <w:rFonts w:ascii="sans-serif" w:eastAsia="sans-serif" w:hAnsi="sans-serif" w:cs="sans-serif"/>
          <w:b/>
          <w:bCs/>
        </w:rPr>
        <w:t>Confidentiality:</w:t>
      </w:r>
      <w:r w:rsidRPr="6130E1CA">
        <w:rPr>
          <w:rFonts w:ascii="sans-serif" w:eastAsia="sans-serif" w:hAnsi="sans-serif" w:cs="sans-serif"/>
        </w:rPr>
        <w:t xml:space="preserve"> Keep the assignment and your solution private until the hiring round closes. </w:t>
      </w:r>
    </w:p>
    <w:p w14:paraId="27AD6537" w14:textId="73C8D619" w:rsidR="009D7EA8" w:rsidRDefault="03262EC6" w:rsidP="6130E1CA">
      <w:pPr>
        <w:pStyle w:val="ListParagraph"/>
        <w:numPr>
          <w:ilvl w:val="0"/>
          <w:numId w:val="7"/>
        </w:numPr>
        <w:spacing w:after="240"/>
        <w:rPr>
          <w:rFonts w:ascii="sans-serif" w:eastAsia="sans-serif" w:hAnsi="sans-serif" w:cs="sans-serif"/>
        </w:rPr>
      </w:pPr>
      <w:r w:rsidRPr="6130E1CA">
        <w:rPr>
          <w:rFonts w:ascii="sans-serif" w:eastAsia="sans-serif" w:hAnsi="sans-serif" w:cs="sans-serif"/>
          <w:b/>
          <w:bCs/>
        </w:rPr>
        <w:t>AI Assistance:</w:t>
      </w:r>
      <w:r w:rsidRPr="6130E1CA">
        <w:rPr>
          <w:rFonts w:ascii="sans-serif" w:eastAsia="sans-serif" w:hAnsi="sans-serif" w:cs="sans-serif"/>
        </w:rPr>
        <w:t xml:space="preserve"> AI coding assistants may be used, but candidates remain fully responsible for the code and must briefly disclose tool usage and verification steps. </w:t>
      </w:r>
    </w:p>
    <w:p w14:paraId="47501BED" w14:textId="0920C1C0" w:rsidR="009D7EA8" w:rsidRDefault="03262EC6" w:rsidP="6130E1CA">
      <w:pPr>
        <w:pStyle w:val="ListParagraph"/>
        <w:numPr>
          <w:ilvl w:val="0"/>
          <w:numId w:val="7"/>
        </w:numPr>
        <w:spacing w:after="240"/>
        <w:rPr>
          <w:rFonts w:ascii="sans-serif" w:eastAsia="sans-serif" w:hAnsi="sans-serif" w:cs="sans-serif"/>
        </w:rPr>
      </w:pPr>
      <w:r w:rsidRPr="6130E1CA">
        <w:rPr>
          <w:rFonts w:ascii="sans-serif" w:eastAsia="sans-serif" w:hAnsi="sans-serif" w:cs="sans-serif"/>
          <w:b/>
          <w:bCs/>
        </w:rPr>
        <w:t>Ownership:</w:t>
      </w:r>
      <w:r w:rsidRPr="6130E1CA">
        <w:rPr>
          <w:rFonts w:ascii="sans-serif" w:eastAsia="sans-serif" w:hAnsi="sans-serif" w:cs="sans-serif"/>
        </w:rPr>
        <w:t xml:space="preserve"> Candidates retain full ownership of their submission; work is used strictly for evaluation. </w:t>
      </w:r>
    </w:p>
    <w:p w14:paraId="2C078E63" w14:textId="4227C8E3" w:rsidR="009D7EA8" w:rsidRDefault="009D7EA8"/>
    <w:sectPr w:rsidR="009D7E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ans-serif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274099"/>
    <w:multiLevelType w:val="hybridMultilevel"/>
    <w:tmpl w:val="549426CC"/>
    <w:lvl w:ilvl="0" w:tplc="B08A3D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F016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F03C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9036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54C3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B641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1663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94D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EEFB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E7F85B"/>
    <w:multiLevelType w:val="hybridMultilevel"/>
    <w:tmpl w:val="3C32C032"/>
    <w:lvl w:ilvl="0" w:tplc="D9B8EB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52F9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9E44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4CA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BECF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82B2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DC5A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0280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E8F9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10A40E"/>
    <w:multiLevelType w:val="hybridMultilevel"/>
    <w:tmpl w:val="202A5F9A"/>
    <w:lvl w:ilvl="0" w:tplc="1FFEAF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0CFD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8684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4633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D8A3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FCA2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CE1E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6272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EC88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B6FC86"/>
    <w:multiLevelType w:val="hybridMultilevel"/>
    <w:tmpl w:val="90162896"/>
    <w:lvl w:ilvl="0" w:tplc="4A1C81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3486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B27B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967F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A6FD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C49B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BC6A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FAFB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2051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388730"/>
    <w:multiLevelType w:val="hybridMultilevel"/>
    <w:tmpl w:val="F502F0FA"/>
    <w:lvl w:ilvl="0" w:tplc="6388AE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A019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EC01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F4DD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027B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C8E9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2684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EA6C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EA4D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84A42F"/>
    <w:multiLevelType w:val="hybridMultilevel"/>
    <w:tmpl w:val="A5369170"/>
    <w:lvl w:ilvl="0" w:tplc="E220A5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1676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ACB7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5E4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BC8F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AA4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F0D1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7A06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58E8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9A725C"/>
    <w:multiLevelType w:val="hybridMultilevel"/>
    <w:tmpl w:val="13DEA3D6"/>
    <w:lvl w:ilvl="0" w:tplc="B5F4CE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CCF7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1062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DA1E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4D4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08C5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5AAC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C601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BC70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E3CB5B"/>
    <w:multiLevelType w:val="hybridMultilevel"/>
    <w:tmpl w:val="44480E1C"/>
    <w:lvl w:ilvl="0" w:tplc="B79EDD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603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EAA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D43F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2CF5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3406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1011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042E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9874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57B457"/>
    <w:multiLevelType w:val="hybridMultilevel"/>
    <w:tmpl w:val="6C0449E0"/>
    <w:lvl w:ilvl="0" w:tplc="7FEA95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40E3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B8F4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47B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007F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9AE8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C28E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74CB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16B0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40EC44"/>
    <w:multiLevelType w:val="hybridMultilevel"/>
    <w:tmpl w:val="EBA00B00"/>
    <w:lvl w:ilvl="0" w:tplc="3B2A49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840C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2C29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6251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2E54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260C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F49A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6AD8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3A99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4CB3D6"/>
    <w:multiLevelType w:val="hybridMultilevel"/>
    <w:tmpl w:val="501EEE8E"/>
    <w:lvl w:ilvl="0" w:tplc="3D0ECF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7020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4A8A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AA83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5634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86B4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FC18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9A2B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36B3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A5BE99"/>
    <w:multiLevelType w:val="hybridMultilevel"/>
    <w:tmpl w:val="DE3AEF14"/>
    <w:lvl w:ilvl="0" w:tplc="8744C5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C09F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22FD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860D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9C98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BCED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5E15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4863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CEB2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0A73B5"/>
    <w:multiLevelType w:val="hybridMultilevel"/>
    <w:tmpl w:val="9808E048"/>
    <w:lvl w:ilvl="0" w:tplc="A4C008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965A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2A06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3086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027A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68D4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BA9B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087D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A0FF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132531"/>
    <w:multiLevelType w:val="hybridMultilevel"/>
    <w:tmpl w:val="B966FE16"/>
    <w:lvl w:ilvl="0" w:tplc="1C681E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D873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8A76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FC00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8265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3693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586F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70D3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DC7C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053849">
    <w:abstractNumId w:val="6"/>
  </w:num>
  <w:num w:numId="2" w16cid:durableId="1990789651">
    <w:abstractNumId w:val="13"/>
  </w:num>
  <w:num w:numId="3" w16cid:durableId="1849637980">
    <w:abstractNumId w:val="5"/>
  </w:num>
  <w:num w:numId="4" w16cid:durableId="1499885079">
    <w:abstractNumId w:val="3"/>
  </w:num>
  <w:num w:numId="5" w16cid:durableId="658385840">
    <w:abstractNumId w:val="1"/>
  </w:num>
  <w:num w:numId="6" w16cid:durableId="1842308081">
    <w:abstractNumId w:val="12"/>
  </w:num>
  <w:num w:numId="7" w16cid:durableId="87311608">
    <w:abstractNumId w:val="11"/>
  </w:num>
  <w:num w:numId="8" w16cid:durableId="1455636412">
    <w:abstractNumId w:val="9"/>
  </w:num>
  <w:num w:numId="9" w16cid:durableId="1143699027">
    <w:abstractNumId w:val="2"/>
  </w:num>
  <w:num w:numId="10" w16cid:durableId="2059281794">
    <w:abstractNumId w:val="4"/>
  </w:num>
  <w:num w:numId="11" w16cid:durableId="489559706">
    <w:abstractNumId w:val="10"/>
  </w:num>
  <w:num w:numId="12" w16cid:durableId="986057357">
    <w:abstractNumId w:val="0"/>
  </w:num>
  <w:num w:numId="13" w16cid:durableId="2016153246">
    <w:abstractNumId w:val="7"/>
  </w:num>
  <w:num w:numId="14" w16cid:durableId="2065760563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5CE4A72"/>
    <w:rsid w:val="002D6BBE"/>
    <w:rsid w:val="008846B3"/>
    <w:rsid w:val="009D7EA8"/>
    <w:rsid w:val="03262EC6"/>
    <w:rsid w:val="3554F9B7"/>
    <w:rsid w:val="6130E1CA"/>
    <w:rsid w:val="6379880D"/>
    <w:rsid w:val="75CE4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0301F"/>
  <w15:chartTrackingRefBased/>
  <w15:docId w15:val="{0043EF1C-BE0E-4D8A-913F-8D2F56E62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6130E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6130E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6130E1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130E1C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6130E1CA"/>
    <w:rPr>
      <w:color w:val="467886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594</Words>
  <Characters>3975</Characters>
  <Application>Microsoft Office Word</Application>
  <DocSecurity>0</DocSecurity>
  <Lines>89</Lines>
  <Paragraphs>64</Paragraphs>
  <ScaleCrop>false</ScaleCrop>
  <Company/>
  <LinksUpToDate>false</LinksUpToDate>
  <CharactersWithSpaces>4578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 Shrestha</dc:creator>
  <cp:keywords/>
  <dc:description/>
  <cp:lastModifiedBy>Nitisha Tamrakar</cp:lastModifiedBy>
  <cp:revision>2</cp:revision>
  <dcterms:created xsi:type="dcterms:W3CDTF">2026-10-08T04:31:00Z</dcterms:created>
  <dcterms:modified xsi:type="dcterms:W3CDTF">2026-10-08T12:40:00Z</dcterms:modified>
</cp:coreProperties>
</file>