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widowControl/>
        <w:spacing w:before="1200" w:after="720" w:line="312" w:lineRule="auto"/>
        <w:ind w:left="0" w:right="0" w:firstLine="0"/>
        <w:jc w:val="center"/>
      </w:pPr>
      <w:r>
        <w:rPr>
          <w:rFonts w:ascii="Times New Roman" w:hAnsi="Times New Roman" w:eastAsia="Times New Roman" w:cs="Times New Roman"/>
          <w:b/>
          <w:i w:val="0"/>
          <w:color w:val="000000"/>
          <w:sz w:val="28"/>
          <w:u w:val="none"/>
        </w:rPr>
        <w:t>Assignment 3</w:t>
        <w:br/>
        <w:t>Methodology and Core Practical Implementation</w:t>
      </w:r>
    </w:p>
    <w:p>
      <w:pPr>
        <w:pStyle w:val="Title"/>
        <w:keepNext/>
        <w:keepLines w:val="0"/>
        <w:pageBreakBefore w:val="0"/>
        <w:widowControl/>
        <w:spacing w:before="0" w:after="360" w:line="312" w:lineRule="auto"/>
        <w:ind w:left="0" w:right="0" w:firstLine="0"/>
        <w:jc w:val="center"/>
      </w:pPr>
      <w:r>
        <w:rPr>
          <w:rFonts w:ascii="Times New Roman" w:hAnsi="Times New Roman" w:eastAsia="Times New Roman" w:cs="Times New Roman"/>
          <w:b/>
          <w:i w:val="0"/>
          <w:color w:val="000000"/>
          <w:sz w:val="32"/>
          <w:u w:val="none"/>
        </w:rPr>
        <w:t>Development of a Machine Learning-Based Exploit Generation Module for Various Android OS File Systems</w:t>
      </w:r>
    </w:p>
    <w:p>
      <w:pPr>
        <w:keepNext/>
        <w:keepLines w:val="0"/>
        <w:pageBreakBefore w:val="0"/>
        <w:widowControl/>
        <w:spacing w:before="0" w:after="1080" w:line="312" w:lineRule="auto"/>
        <w:ind w:left="0" w:right="0" w:firstLine="0"/>
        <w:jc w:val="center"/>
      </w:pPr>
      <w:r>
        <w:rPr>
          <w:rFonts w:ascii="Times New Roman" w:hAnsi="Times New Roman" w:eastAsia="Times New Roman" w:cs="Times New Roman"/>
          <w:b w:val="0"/>
          <w:i w:val="0"/>
          <w:color w:val="000000"/>
          <w:sz w:val="24"/>
          <w:u w:val="none"/>
        </w:rPr>
        <w:t>Машиналық оқыту әдістерін қолдана отырып, Android ОЖ-нің әртүрлі файлдық жүйелеріне арналған эксплойттарды генерациялау модулін әзірлеу</w:t>
      </w:r>
    </w:p>
    <w:p>
      <w:pPr>
        <w:keepNext w:val="0"/>
        <w:keepLines/>
        <w:pageBreakBefore w:val="0"/>
        <w:widowControl/>
        <w:spacing w:before="0" w:after="0" w:line="360" w:lineRule="auto"/>
        <w:ind w:left="0" w:right="0" w:firstLine="0"/>
        <w:jc w:val="center"/>
      </w:pPr>
      <w:r>
        <w:rPr>
          <w:rFonts w:ascii="Times New Roman" w:hAnsi="Times New Roman" w:eastAsia="Times New Roman" w:cs="Times New Roman"/>
          <w:b w:val="0"/>
          <w:i w:val="0"/>
          <w:color w:val="000000"/>
          <w:sz w:val="24"/>
          <w:u w:val="none"/>
        </w:rPr>
        <w:t>Nikita Tsybus and Bakytzhan Kassymgali</w:t>
        <w:br/>
        <w:t>SE-2421</w:t>
        <w:br/>
        <w:t>18 October 2026</w:t>
      </w:r>
    </w:p>
    <w:p>
      <w:pPr>
        <w:keepNext w:val="0"/>
        <w:keepLines w:val="0"/>
        <w:pageBreakBefore/>
        <w:widowControl/>
        <w:spacing w:before="0" w:after="0" w:line="360" w:lineRule="auto"/>
        <w:ind w:left="0" w:right="0" w:firstLine="709"/>
        <w:jc w:val="both"/>
      </w:pPr>
      <w:r>
        <w:rPr>
          <w:rFonts w:ascii="Times New Roman" w:hAnsi="Times New Roman" w:eastAsia="Times New Roman" w:cs="Times New Roman"/>
          <w:b w:val="0"/>
          <w:color w:val="000000"/>
          <w:sz w:val="24"/>
          <w:u w:val="none"/>
        </w:rPr>
        <w:t>This project concerns the development of an ML-based exploit-generation module for Android file systems, initially ext4 and F2FS. The present assignment defines the module architecture and demonstrates its diagnostic and learned-selection components. The retained Assignment 2 experiment evaluates defect reproduction as an intermediate capability. A generated test, a verified defect reproducer and a validated exploit are separate outputs; the last requires additional construction and validation evidence [9].</w:t>
      </w: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Module development aim</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color w:val="000000"/>
          <w:sz w:val="24"/>
          <w:u w:val="none"/>
        </w:rPr>
        <w:t>To design and progressively implement a module combining filesystem-aware input preparation, ML-guided selection, candidate generation, diagnostic interpretation and controlled validation, ultimately supporting exploit generation for ext4 and F2FS in authorised Android test environments.</w:t>
      </w: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Primary research question for module evaluation</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color w:val="000000"/>
          <w:sz w:val="24"/>
          <w:u w:val="none"/>
        </w:rPr>
        <w:t>How does ML-guided seed selection, compared with conventional coverage-guided selection, affect the verified defect-reproduction rate for ext4 and F2FS in an isolated Android Common Kernel test environment under equal execution budgets?</w:t>
      </w: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Evaluation aim retained from Assignment 2</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To evaluate the effect of ML-guided seed selection on verified defect reproduction for ext4 and F2FS in an isolated Android Common Kernel environment, compared with conventional coverage-guided selection under equal execution budgets.</w:t>
      </w: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Evaluation objectives within module development</w:t>
      </w:r>
    </w:p>
    <w:p>
      <w:pPr>
        <w:keepNext w:val="0"/>
        <w:keepLines w:val="0"/>
        <w:pageBreakBefore w:val="0"/>
        <w:widowControl/>
        <w:spacing w:after="60" w:before="0" w:line="360" w:lineRule="auto"/>
        <w:ind w:left="397" w:right="0" w:hanging="397"/>
        <w:jc w:val="both"/>
      </w:pPr>
      <w:r>
        <w:rPr>
          <w:rFonts w:ascii="Times New Roman" w:hAnsi="Times New Roman" w:eastAsia="Times New Roman" w:cs="Times New Roman"/>
          <w:b w:val="0"/>
          <w:color w:val="000000"/>
          <w:sz w:val="24"/>
          <w:u w:val="none"/>
        </w:rPr>
        <w:t>1. Identify and validate a balanced set of public, already-patched ext4 and F2FS defect fixtures with recorded affected revisions, fixed controls and expected failure signatures.</w:t>
      </w:r>
    </w:p>
    <w:p>
      <w:pPr>
        <w:keepNext w:val="0"/>
        <w:keepLines w:val="0"/>
        <w:pageBreakBefore w:val="0"/>
        <w:widowControl/>
        <w:spacing w:after="60" w:before="0" w:line="360" w:lineRule="auto"/>
        <w:ind w:left="397" w:right="0" w:hanging="397"/>
        <w:jc w:val="both"/>
      </w:pPr>
      <w:r>
        <w:rPr>
          <w:rFonts w:ascii="Times New Roman" w:hAnsi="Times New Roman" w:eastAsia="Times New Roman" w:cs="Times New Roman"/>
          <w:b w:val="0"/>
          <w:color w:val="000000"/>
          <w:sz w:val="24"/>
          <w:u w:val="none"/>
        </w:rPr>
        <w:t>2. Develop a lightweight learned seed-ranking component using development-only execution metadata, and integrate it into a test-generation engine without changing the engine’s mutation rules or verification oracle.</w:t>
      </w:r>
    </w:p>
    <w:p>
      <w:pPr>
        <w:keepNext w:val="0"/>
        <w:keepLines w:val="0"/>
        <w:pageBreakBefore w:val="0"/>
        <w:widowControl/>
        <w:spacing w:after="60" w:before="0" w:line="360" w:lineRule="auto"/>
        <w:ind w:left="397" w:right="0" w:hanging="397"/>
        <w:jc w:val="both"/>
      </w:pPr>
      <w:r>
        <w:rPr>
          <w:rFonts w:ascii="Times New Roman" w:hAnsi="Times New Roman" w:eastAsia="Times New Roman" w:cs="Times New Roman"/>
          <w:b w:val="0"/>
          <w:color w:val="000000"/>
          <w:sz w:val="24"/>
          <w:u w:val="none"/>
        </w:rPr>
        <w:t>3. Compare the two selection policies on held-out fixtures using matched starting corpora, configurations, execution budgets and repeated trials.</w:t>
      </w:r>
    </w:p>
    <w:p>
      <w:pPr>
        <w:keepNext w:val="0"/>
        <w:keepLines w:val="0"/>
        <w:pageBreakBefore w:val="0"/>
        <w:widowControl/>
        <w:spacing w:after="60" w:before="0" w:line="360" w:lineRule="auto"/>
        <w:ind w:left="397" w:right="0" w:hanging="397"/>
        <w:jc w:val="both"/>
      </w:pPr>
      <w:r>
        <w:rPr>
          <w:rFonts w:ascii="Times New Roman" w:hAnsi="Times New Roman" w:eastAsia="Times New Roman" w:cs="Times New Roman"/>
          <w:b w:val="0"/>
          <w:color w:val="000000"/>
          <w:sz w:val="24"/>
          <w:u w:val="none"/>
        </w:rPr>
        <w:t>4. Estimate differences in verified reproduction rate and budget-capped discovery time, report uncertainty at defect-fixture level, and examine results separately for ext4 and F2FS.</w:t>
      </w:r>
    </w:p>
    <w:p>
      <w:pPr>
        <w:keepNext w:val="0"/>
        <w:keepLines w:val="0"/>
        <w:pageBreakBefore w:val="0"/>
        <w:widowControl/>
        <w:spacing w:after="60" w:before="0" w:line="360" w:lineRule="auto"/>
        <w:ind w:left="397" w:right="0" w:hanging="397"/>
        <w:jc w:val="both"/>
      </w:pPr>
      <w:r>
        <w:rPr>
          <w:rFonts w:ascii="Times New Roman" w:hAnsi="Times New Roman" w:eastAsia="Times New Roman" w:cs="Times New Roman"/>
          <w:b w:val="0"/>
          <w:color w:val="000000"/>
          <w:sz w:val="24"/>
          <w:u w:val="none"/>
        </w:rPr>
        <w:t>5. Assess inference and training cost, investigate failed reproductions and data leakage, and state the limits of applying the findings to a broader exploit-generation module.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The evaluation question, aim and five objectives retain Assignment 2 continuity. They test the learned selection and reproduction stages of the module; full exploit-generation capability requires the downstream stages specified in Section 7.</w:t>
      </w:r>
    </w:p>
    <w:p>
      <w:pPr>
        <w:pStyle w:val="Heading1"/>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1 Research approach and design</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The project combines staged module engineering with a quantitative, controlled computational experiment. Its broader development goal is a machine learning-based exploit-generation module for Android file systems. The retained Assignment 2 research question, empirical aim and five objectives evaluate one prerequisite: whether learned seed selection improves verified defect reproduction. This evaluation does not establish exploit-generation effectiveness. The module architecture connects filesystem profiles, input preparation, learned selection, candidate generation, diagnostic interpretation and validation; downstream exploit-generation and exploit-validation stages remain proposed [9].</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The experimental treatment is a frozen logistic-regression seed ranker; the comparator is the unchanged native coverage-guided selector of the same syzkaller revision [1]. Mutation, corpus admission, execution and verification remain identical. Learning-based kernel scheduling motivates the comparison without establishing an advantage in this Android setting [2]. The implemented diagnostic parser and text-target ML prototype demonstrate component interfaces and execution flow; their results cannot substitute for kernel experiments.</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One policy–defect–repeat session is an observation; a distinct defect fixture is the independent inferential unit. Five paired repeats share starting conditions and randomisation schedules; policy order is randomised within pairs. Controlled disk state addresses stateful filesystem behaviour [3]. H01 specifies zero equally weighted, filesystem-stratified reproduction-rate difference; H1 permits either direction. H02 specifies zero capped-time difference. Existing crash-dashboard comparisons were rejected because kernels, corpora, budgets and reporting would confound the policy effect. Conclusions remain conditional on eligible fixtures and configurations.</w:t>
      </w:r>
    </w:p>
    <w:p>
      <w:pPr>
        <w:pStyle w:val="Heading1"/>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2 Sample and research context</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The target population comprises public, already-patched, deterministic ext4 and F2FS defects reproducible in selected Android Common Kernel (ACK) revisions. ACK is a downstream kernel family; upstream Linux reports alone do not establish compatibility [4]. Public fix histories and diagnostic records supply candidates. Each fixture contains an affected revision, closely matched fixed control, reference signature, configuration and disposable image. Planned ext4 and F2FS profiles record filesystem identity, applicable configurations, input assumptions and diagnostic context, providing explicit interfaces between the broader module and its evaluation.</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Eligibility requires a documented fix, buildable affected/fixed pair, observable memory-safety or assertion failure, and curator-only reference checks on three clean affected resets and three clean fixed resets. Exclude unresolved defects, duplicate lineages, proprietary inputs, silent consistency errors, concurrency-only races and cases requiring commercial-device access. Related fixes and duplicate reports share one lineage and cannot cross partitions. Public parser files are development material, not validated ACK fixtures.</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Retain 20 held-out fixtures, ten per filesystem, and five paired repeats: 200 sessions at 30 minutes, or 100 planned generation-hours before replacements, pilot testing and training. Separately target eight training, four validation and four pilot lineages, balanced by filesystem. This is a feasibility target, not an achieved sample or power calculation. Selection is purposive and exhaustive within a dated candidate pool. Public access supports screening; compatibility remains unproven. Record exclusions, acknowledge publication/reproducibility bias and limit generalisation. If eligibility is insufficient, revise scope before examining held-out outcomes.</w:t>
      </w:r>
    </w:p>
    <w:p>
      <w:pPr>
        <w:pStyle w:val="Heading1"/>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3 Variables instruments and metrics</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Selection policy is the treatment; filesystem is a prespecified stratum. Control kernel revision, initial corpus, disk image, CPU/RAM allocation, engine revision, mutation settings and execution timeout within pairs. KCOV supplies coverage feedback and KASAN reports memory-access errors; neither alone verifies a known defect [5, 6]. Filesystem profiles describe supported contexts; they are not evidence that the module generalises across Android devices.</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For policy p, fixture d and repeat r, Y(p,d,r) equals one only when one of the first three distinct target-matching candidates generated within 1,800 seconds reproduces the expected signature on 3/3 fresh affected resets and on 0/3 normally completed fixed-control resets. Order candidates by discovery time. The prespecified signature combines failure category and relevant stack frames. Otherwise a completed valid session scores zero; missing infrastructure evidence is flagged separately. Each session contributes at most one success.</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The primary measure is the within-fixture difference between policy means over identical valid paired repeats, averaged within each filesystem and equally across filesystems, in percentage points. Secondary measures are earliest subsequently verified candidate time among the same first three, capped at 1,800 seconds for unsuccessful sessions, executed-test count and online selection overhead. Report training cost separately. Preselection metadata are ranker inputs; its score predicts future coverage gain, a surrogate rather than defect reproduction. Keep three evidence levels distinct: executed component behaviour, verified defect reproduction and exploit-level validity. The last requires separately specified controlled validation of an exploit artifact [9]; parser labels, coverage gains and crashes do not satisfy it.</w:t>
      </w:r>
    </w:p>
    <w:p>
      <w:pPr>
        <w:pStyle w:val="Heading1"/>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4 Data preparation and experimental procedure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First, screen candidates, group lineages and freeze disjoint training, validation, pilot and test manifests. Curator reference cases, target reproducers and signatures remain unavailable to the learner and tuning process. Provision authorised isolated x86-64 QEMU guests, initially four vCPUs and 8 GiB RAM, without network or shared writable host mounts. Record exact ACK commits, compiler, configuration, emulator version and image hashes. These are planned settings, not an installed testbed. Connect filesystem profiles and diagnostic records through documented module interfaces; validate their contracts before integration.</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Second, collect development telemetry using a fixed 32-offspring window per selected seed. Label one when the window adds coverage relative to its starting set; incomplete windows remain missing. Predictors are preselection program length, syscall count, prior coverage count, selection count, age, historical execution duration and filesystem. Fit imputation and scaling on training data only. Train L2 logistic regression with C in {0.1, 1, 10}, training-derived class weights and validation average precision for selection [7]. Freeze preprocessing, model and parameters. Reserve ten percent of ML selections for uniform exploration; do not retrain online.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Third, pilot compatibility and timing, then run held-out pairs from identical clean snapshots. Each 30-minute wall-clock generation budget includes extraction, inference, execution, logging and in-session resets. Account separately for offline training and later verification. Verify the first three distinct target-matching candidates with six fresh resets each; calibrate and freeze the provisional 60-second reset/replay cap during the pilot. Preserve raw logs, hashes, timestamps and provenance. Deduplicate candidate hashes within verification queues, retain repeated-session outcomes, quarantine malformed records and record exclusions. Repeat an infrastructure-invalid pair at most once; unresolved pairs remain missing. Downstream exploit construction and validation require a separately specified implementation and validation protocol; neither is performed or represented by this experiment.</w:t>
      </w:r>
    </w:p>
    <w:p>
      <w:pPr>
        <w:pStyle w:val="Heading1"/>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5 Data analysis plan</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For Objective 1, report screening counts by filesystem, exclusions, lineage deduplication and affected/fixed provenance. For Objective 2, report class balance, missingness, validation average precision against positive-class prevalence and a constant-score baseline, calibration and inference time. These assess the coverage surrogate and module selection interface, not exploit effectiveness. Hold out entire lineages; test outcomes must not select features, hyperparameters or stopping rules. Existing parser agreement and local ML results remain separately labelled component-development evidence.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For Objective 3, audit matched resources, budgets, starting corpora, completion and realised execution counts. For Objective 4, calculate fixture-level paired rate differences, filesystem means and their equally weighted overall mean. Estimate a 95 percent interval with 20,000 filesystem-stratified bootstrap resamples of whole fixtures, carrying paired repeats together [8]. The 200 sessions are not independent defects. Plot fixture effects and report numerators and valid denominators. With ten fixtures per stratum, intervals may be unstable; an interval spanning zero is inconclusive, not evidence of equivalence.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Apply identical aggregation to budget-capped discovery time, retaining unsuccessful sessions at the full cap. Filesystem contrasts and secondary cost/time analyses are exploratory. For Objective 5, compare latency and executed tests, report training cost and classify rejected signatures, incomplete controls, verification-cap hits and unreproducible candidates. Retain valid zero-success runs; exclude only prespecified infrastructure failures. Report available-pair estimates and extreme-case bounds over planned repeats and fixtures with equal fixture/filesystem weights. Publish per-fixture data and analysis code. Interpret verified reproduction as an intermediate module capability; leave exploit-level performance unestimated.</w:t>
      </w:r>
    </w:p>
    <w:p>
      <w:pPr>
        <w:pStyle w:val="Heading1"/>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6 Research quality ethics and reproducibility</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Internal validity requires changing only selection policy, randomising order and preserving paired configurations. Repeated runs and fixture-level uncertainty address stochastic behaviour [8]. Construct validity requires separating diagnostic labels, coverage, verified reproduction and exploitability. Three affected replays and negative fixed controls strengthen attribution without proving every possible failure absent. The three-candidate cap is part of the endpoint. The text-parser ML target differs substantially from ACK execution; transfer must be demonstrated with new telemetry and validated fixtures.</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Prevent leakage through lineage-level partitioning, training-only preprocessing, a frozen model and separation of verification material from ranking features. Record commits, versions, configuration, random seeds, hashes, exclusions and machine-readable outputs. Two team members independently review ambiguous signatures while blinded to policy; document adjudication before resolving disagreements. The parser development sample and semisynthetic text descendants support software checks, not independent kernel accuracy claims. Maintain traceability from each module stage to its input, output, implementation status and supporting evidence.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There are no human participants or personal-device data. Use authorised isolated guests and disposable synthetic file contents; keep any future exploit-validation work within the same explicitly authorised scope. Restrict logs and reference artifacts to the team; remove sensitive paths and identifiers before sharing. Retain artifacts until 90 days after grading, then delete local copies unless course rules require longer. Do not upload private raw logs to external AI services. Preserve public-source attribution and licences. Disclose AI assistance; both students must verify and independently defend all implementation and methodological decisions.</w:t>
      </w:r>
    </w:p>
    <w:p>
      <w:pPr>
        <w:pStyle w:val="Heading1"/>
        <w:keepNext/>
        <w:keepLines/>
        <w:pageBreakBefore/>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7 Module architecture and practical implementation</w:t>
      </w:r>
    </w:p>
    <w:p>
      <w:pPr>
        <w:keepNext/>
        <w:spacing w:after="120"/>
      </w:pPr>
      <w:r>
        <w:t>Figure 1 shows the system flow, the execution-feedback loop and the implementation status of each path.</w:t>
      </w:r>
    </w:p>
    <w:p>
      <w:pPr>
        <w:keepNext/>
        <w:spacing w:before="0" w:after="80" w:line="240" w:lineRule="auto"/>
        <w:jc w:val="center"/>
      </w:pPr>
      <w:r>
        <w:drawing>
          <wp:inline xmlns:a="http://schemas.openxmlformats.org/drawingml/2006/main" xmlns:pic="http://schemas.openxmlformats.org/drawingml/2006/picture">
            <wp:extent cx="5687568" cy="6825082"/>
            <wp:docPr id="1" name="Picture 1" descr="System flow diagram. Public diagnostic texts feed preparation, a seed corpus, ML or reference selection, text mutation and parser execution, diagnostic feedback and evidence checks. A feedback arrow returns to the corpus. Dashed paths show planned ext4 and F2FS ACK execution, independent replay validation, and downstream exploit construction and validation."/>
            <wp:cNvGraphicFramePr>
              <a:graphicFrameLocks noChangeAspect="1"/>
            </wp:cNvGraphicFramePr>
            <a:graphic>
              <a:graphicData uri="http://schemas.openxmlformats.org/drawingml/2006/picture">
                <pic:pic>
                  <pic:nvPicPr>
                    <pic:cNvPr id="0" name="System_Flow_Diagram.png"/>
                    <pic:cNvPicPr/>
                  </pic:nvPicPr>
                  <pic:blipFill>
                    <a:blip r:embed="rId13"/>
                    <a:stretch>
                      <a:fillRect/>
                    </a:stretch>
                  </pic:blipFill>
                  <pic:spPr>
                    <a:xfrm>
                      <a:off x="0" y="0"/>
                      <a:ext cx="5687568" cy="6825082"/>
                    </a:xfrm>
                    <a:prstGeom prst="rect"/>
                  </pic:spPr>
                </pic:pic>
              </a:graphicData>
            </a:graphic>
          </wp:inline>
        </w:drawing>
      </w:r>
    </w:p>
    <w:p>
      <w:pPr>
        <w:pStyle w:val="Caption"/>
        <w:keepNext w:val="0"/>
        <w:spacing w:after="0" w:line="240" w:lineRule="auto"/>
      </w:pPr>
      <w:r>
        <w:rPr>
          <w:rFonts w:ascii="Times New Roman" w:hAnsi="Times New Roman"/>
          <w:color w:val="000000"/>
          <w:sz w:val="18"/>
        </w:rPr>
        <w:t>Figure 1 System flow and implementation status. Solid boxes describe components exercised on the text target. Dashed boxes describe planned ACK and downstream stages. ACK use of the common preparation, selection and diagnostic interfaces also remains planned.</w:t>
      </w:r>
    </w:p>
    <w:p>
      <w:pPr>
        <w:keepNext w:val="0"/>
        <w:keepLines w:val="0"/>
        <w:pageBreakBefore/>
        <w:widowControl/>
        <w:spacing w:before="0" w:after="0" w:line="360" w:lineRule="auto"/>
        <w:ind w:left="0" w:right="0" w:firstLine="709"/>
        <w:jc w:val="both"/>
      </w:pPr>
      <w:r>
        <w:rPr>
          <w:rFonts w:ascii="Times New Roman" w:hAnsi="Times New Roman" w:eastAsia="Times New Roman" w:cs="Times New Roman"/>
          <w:color w:val="000000"/>
          <w:sz w:val="24"/>
          <w:u w:val="none"/>
        </w:rPr>
        <w:t>The proposed module has a common orchestration layer and separate ext4 and F2FS context profiles. A profile records supported kernel/configuration combinations, seed representation, initial disk state, reset assumptions and diagnostic context. Profiles preserve filesystem identity while exposing a common feature, score and evidence schema. Their ACK implementations remain to be built and qualified.</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color w:val="000000"/>
          <w:sz w:val="24"/>
          <w:u w:val="none"/>
        </w:rPr>
        <w:t>The intended flow is: filesystem context and fixtures → ML-guided seed selection → candidate generation and execution → diagnostic interpretation → verified defect reproducer → exploit construction → controlled exploit validation. Execution feedback returns to the corpus and selector. The table distinguishes specified module functions from the components already exercised.</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bottom w:w="65" w:type="dxa"/>
          <w:left w:w="85" w:type="dxa"/>
          <w:right w:w="85" w:type="dxa"/>
        </w:tblCellMar>
        <w:tblLook w:val="0000"/>
      </w:tblPr>
      <w:tblGrid>
        <w:gridCol w:w="1582"/>
        <w:gridCol w:w="2110"/>
        <w:gridCol w:w="3217"/>
        <w:gridCol w:w="2162"/>
      </w:tblGrid>
      <w:tr>
        <w:trPr>
          <w:cantSplit/>
          <w:tblHeader/>
        </w:trPr>
        <w:tc>
          <w:tcPr>
            <w:tcW w:type="dxa" w:w="1582"/>
            <w:tcBorders>
              <w:top w:val="single" w:sz="4" w:color="000000"/>
              <w:left w:val="single" w:sz="4" w:color="000000"/>
              <w:bottom w:val="single" w:sz="4" w:color="000000"/>
              <w:right w:val="single" w:sz="4" w:color="000000"/>
            </w:tcBorders>
            <w:vAlign w:val="center"/>
          </w:tcPr>
          <w:p>
            <w:pPr>
              <w:keepNext/>
              <w:keepLines w:val="0"/>
              <w:widowControl/>
              <w:spacing w:line="240" w:lineRule="auto" w:after="0" w:before="0"/>
              <w:ind w:firstLine="0" w:left="0" w:right="0"/>
              <w:jc w:val="left"/>
            </w:pPr>
            <w:r>
              <w:rPr>
                <w:rFonts w:ascii="Times New Roman" w:hAnsi="Times New Roman" w:eastAsia="Times New Roman" w:cs="Times New Roman"/>
                <w:b/>
                <w:i w:val="0"/>
                <w:color w:val="000000"/>
                <w:sz w:val="21"/>
                <w:u w:val="none"/>
              </w:rPr>
              <w:t>Module component</w:t>
            </w:r>
          </w:p>
        </w:tc>
        <w:tc>
          <w:tcPr>
            <w:tcW w:type="dxa" w:w="2110"/>
            <w:tcBorders>
              <w:top w:val="single" w:sz="4" w:color="000000"/>
              <w:left w:val="single" w:sz="4" w:color="000000"/>
              <w:bottom w:val="single" w:sz="4" w:color="000000"/>
              <w:right w:val="single" w:sz="4" w:color="000000"/>
            </w:tcBorders>
            <w:vAlign w:val="center"/>
          </w:tcPr>
          <w:p>
            <w:pPr>
              <w:keepNext/>
              <w:keepLines w:val="0"/>
              <w:widowControl/>
              <w:spacing w:line="240" w:lineRule="auto" w:after="0" w:before="0"/>
              <w:ind w:firstLine="0" w:left="0" w:right="0"/>
              <w:jc w:val="left"/>
            </w:pPr>
            <w:r>
              <w:rPr>
                <w:rFonts w:ascii="Times New Roman" w:hAnsi="Times New Roman" w:eastAsia="Times New Roman" w:cs="Times New Roman"/>
                <w:b/>
                <w:i w:val="0"/>
                <w:color w:val="000000"/>
                <w:sz w:val="21"/>
                <w:u w:val="none"/>
              </w:rPr>
              <w:t>Input and output</w:t>
            </w:r>
          </w:p>
        </w:tc>
        <w:tc>
          <w:tcPr>
            <w:tcW w:type="dxa" w:w="3217"/>
            <w:tcBorders>
              <w:top w:val="single" w:sz="4" w:color="000000"/>
              <w:left w:val="single" w:sz="4" w:color="000000"/>
              <w:bottom w:val="single" w:sz="4" w:color="000000"/>
              <w:right w:val="single" w:sz="4" w:color="000000"/>
            </w:tcBorders>
            <w:vAlign w:val="center"/>
          </w:tcPr>
          <w:p>
            <w:pPr>
              <w:keepNext/>
              <w:keepLines w:val="0"/>
              <w:widowControl/>
              <w:spacing w:line="240" w:lineRule="auto" w:after="0" w:before="0"/>
              <w:ind w:firstLine="0" w:left="0" w:right="0"/>
              <w:jc w:val="left"/>
            </w:pPr>
            <w:r>
              <w:rPr>
                <w:rFonts w:ascii="Times New Roman" w:hAnsi="Times New Roman" w:eastAsia="Times New Roman" w:cs="Times New Roman"/>
                <w:b/>
                <w:i w:val="0"/>
                <w:color w:val="000000"/>
                <w:sz w:val="21"/>
                <w:u w:val="none"/>
              </w:rPr>
              <w:t>Connection to the project</w:t>
            </w:r>
          </w:p>
        </w:tc>
        <w:tc>
          <w:tcPr>
            <w:tcW w:type="dxa" w:w="2162"/>
            <w:tcBorders>
              <w:top w:val="single" w:sz="4" w:color="000000"/>
              <w:left w:val="single" w:sz="4" w:color="000000"/>
              <w:bottom w:val="single" w:sz="4" w:color="000000"/>
              <w:right w:val="single" w:sz="4" w:color="000000"/>
            </w:tcBorders>
            <w:vAlign w:val="center"/>
          </w:tcPr>
          <w:p>
            <w:pPr>
              <w:keepNext/>
              <w:keepLines w:val="0"/>
              <w:widowControl/>
              <w:spacing w:line="240" w:lineRule="auto" w:after="0" w:before="0"/>
              <w:ind w:firstLine="0" w:left="0" w:right="0"/>
              <w:jc w:val="left"/>
            </w:pPr>
            <w:r>
              <w:rPr>
                <w:rFonts w:ascii="Times New Roman" w:hAnsi="Times New Roman" w:eastAsia="Times New Roman" w:cs="Times New Roman"/>
                <w:b/>
                <w:i w:val="0"/>
                <w:color w:val="000000"/>
                <w:sz w:val="21"/>
                <w:u w:val="none"/>
              </w:rPr>
              <w:t>Current evidence</w:t>
            </w:r>
          </w:p>
        </w:tc>
      </w:tr>
      <w:tr>
        <w:trPr>
          <w:cantSplit/>
        </w:trPr>
        <w:tc>
          <w:tcPr>
            <w:tcW w:type="dxa" w:w="158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Filesystem profiles and fixture registry</w:t>
            </w:r>
          </w:p>
        </w:tc>
        <w:tc>
          <w:tcPr>
            <w:tcW w:type="dxa" w:w="2110"/>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Source/fix records → qualified context and fixture manifest</w:t>
            </w:r>
          </w:p>
        </w:tc>
        <w:tc>
          <w:tcPr>
            <w:tcW w:type="dxa" w:w="3217"/>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Supply ext4/F2FS context to generation and verification; keep configurations and lineages traceable.</w:t>
            </w:r>
          </w:p>
        </w:tc>
        <w:tc>
          <w:tcPr>
            <w:tcW w:type="dxa" w:w="216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Five records source-screened; no locally validated ACK fixture. Profiles specified.</w:t>
            </w:r>
          </w:p>
        </w:tc>
      </w:tr>
      <w:tr>
        <w:trPr>
          <w:cantSplit/>
        </w:trPr>
        <w:tc>
          <w:tcPr>
            <w:tcW w:type="dxa" w:w="158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Learned selection</w:t>
            </w:r>
          </w:p>
        </w:tc>
        <w:tc>
          <w:tcPr>
            <w:tcW w:type="dxa" w:w="2110"/>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Preselection features → score and chosen seed</w:t>
            </w:r>
          </w:p>
        </w:tc>
        <w:tc>
          <w:tcPr>
            <w:tcW w:type="dxa" w:w="3217"/>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Prioritise the inputs from which the generator explores new candidates; ML guides selection rather than directly emitting exploit code.</w:t>
            </w:r>
          </w:p>
        </w:tc>
        <w:tc>
          <w:tcPr>
            <w:tcW w:type="dxa" w:w="216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Model trained and selection loop executed on a text-parser target.</w:t>
            </w:r>
          </w:p>
        </w:tc>
      </w:tr>
      <w:tr>
        <w:trPr>
          <w:cantSplit/>
        </w:trPr>
        <w:tc>
          <w:tcPr>
            <w:tcW w:type="dxa" w:w="158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Candidate generation and execution</w:t>
            </w:r>
          </w:p>
        </w:tc>
        <w:tc>
          <w:tcPr>
            <w:tcW w:type="dxa" w:w="2110"/>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Chosen seed plus context → candidate, coverage and log</w:t>
            </w:r>
          </w:p>
        </w:tc>
        <w:tc>
          <w:tcPr>
            <w:tcW w:type="dxa" w:w="3217"/>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Connect selected inputs to a filesystem-aware engine and return measured feedback.</w:t>
            </w:r>
          </w:p>
        </w:tc>
        <w:tc>
          <w:tcPr>
            <w:tcW w:type="dxa" w:w="216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Text mutation and parser calls executed; native ACK adapter pending.</w:t>
            </w:r>
          </w:p>
        </w:tc>
      </w:tr>
      <w:tr>
        <w:trPr>
          <w:cantSplit/>
        </w:trPr>
        <w:tc>
          <w:tcPr>
            <w:tcW w:type="dxa" w:w="158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Diagnostic and replay evidence</w:t>
            </w:r>
          </w:p>
        </w:tc>
        <w:tc>
          <w:tcPr>
            <w:tcW w:type="dxa" w:w="2110"/>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Logs and replay rows → structured records and rejection reasons</w:t>
            </w:r>
          </w:p>
        </w:tc>
        <w:tc>
          <w:tcPr>
            <w:tcW w:type="dxa" w:w="3217"/>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Support screening and review before accepting a reproducer for downstream work.</w:t>
            </w:r>
          </w:p>
        </w:tc>
        <w:tc>
          <w:tcPr>
            <w:tcW w:type="dxa" w:w="216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Parser and metadata gate implemented; independent ACK verification pending.</w:t>
            </w:r>
          </w:p>
        </w:tc>
      </w:tr>
      <w:tr>
        <w:trPr>
          <w:cantSplit/>
        </w:trPr>
        <w:tc>
          <w:tcPr>
            <w:tcW w:type="dxa" w:w="158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Exploit construction</w:t>
            </w:r>
          </w:p>
        </w:tc>
        <w:tc>
          <w:tcPr>
            <w:tcW w:type="dxa" w:w="2110"/>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Verified reproducer plus case-specific context → candidate exploit artifact</w:t>
            </w:r>
          </w:p>
        </w:tc>
        <w:tc>
          <w:tcPr>
            <w:tcW w:type="dxa" w:w="3217"/>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Transform a reproducible defect into an artifact intended to demonstrate a predefined security impact.</w:t>
            </w:r>
          </w:p>
        </w:tc>
        <w:tc>
          <w:tcPr>
            <w:tcW w:type="dxa" w:w="216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Proposed downstream component; no implementation or output reported.</w:t>
            </w:r>
          </w:p>
        </w:tc>
      </w:tr>
      <w:tr>
        <w:trPr>
          <w:cantSplit/>
        </w:trPr>
        <w:tc>
          <w:tcPr>
            <w:tcW w:type="dxa" w:w="158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Exploit validation</w:t>
            </w:r>
          </w:p>
        </w:tc>
        <w:tc>
          <w:tcPr>
            <w:tcW w:type="dxa" w:w="2110"/>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Artifact plus declared context → controlled validation record</w:t>
            </w:r>
          </w:p>
        </w:tc>
        <w:tc>
          <w:tcPr>
            <w:tcW w:type="dxa" w:w="3217"/>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Determine whether the intended security impact is demonstrated and repeatable in that context.</w:t>
            </w:r>
          </w:p>
        </w:tc>
        <w:tc>
          <w:tcPr>
            <w:tcW w:type="dxa" w:w="2162"/>
            <w:tcBorders>
              <w:top w:val="single" w:sz="4" w:color="000000"/>
              <w:left w:val="single" w:sz="4" w:color="000000"/>
              <w:bottom w:val="single" w:sz="4" w:color="000000"/>
              <w:right w:val="single" w:sz="4" w:color="000000"/>
            </w:tcBorders>
            <w:vAlign w:val="center"/>
          </w:tcPr>
          <w:p>
            <w:pPr>
              <w:keepNext w:val="0"/>
              <w:keepLines w:val="0"/>
              <w:widowControl/>
              <w:spacing w:line="240" w:lineRule="auto" w:after="0" w:before="0"/>
              <w:ind w:firstLine="0" w:left="0" w:right="0"/>
              <w:jc w:val="left"/>
            </w:pPr>
            <w:r>
              <w:rPr>
                <w:rFonts w:ascii="Times New Roman" w:hAnsi="Times New Roman" w:eastAsia="Times New Roman" w:cs="Times New Roman"/>
                <w:b w:val="0"/>
                <w:i w:val="0"/>
                <w:color w:val="000000"/>
                <w:sz w:val="21"/>
                <w:u w:val="none"/>
              </w:rPr>
              <w:t>Separate validation protocol required; no exploit-level result reported.</w:t>
            </w:r>
          </w:p>
        </w:tc>
      </w:tr>
    </w:tbl>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Evidence states and acceptance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color w:val="000000"/>
          <w:sz w:val="24"/>
          <w:u w:val="none"/>
        </w:rPr>
        <w:t>A diagnostic record describes observed text. A complete replay ledger passes structural checks. A verified reproducer additionally needs authentic affected/fixed execution evidence. An exploit candidate needs a construction stage, and a validated exploit needs an independently recorded, predefined security-impact test. These states cannot be inferred from one another merely because coverage or a classifier score improves [9].</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color w:val="000000"/>
          <w:sz w:val="24"/>
          <w:u w:val="none"/>
        </w:rPr>
        <w:t>The present artifact demonstrates component contracts and a local feedback loop. It leaves Android integration and both exploit-specific stages open. The development plan therefore preserves the original topic while making the implemented contribution and the remaining engineering work explicit.</w:t>
      </w: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Diagnostic processing and fixture preparation</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color w:val="000000"/>
          <w:sz w:val="24"/>
          <w:u w:val="none"/>
        </w:rPr>
        <w:t>Core track: Cybersecurity and technical experiment with an implemented ML selection subsystem.</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The diagnostic subsystem prototypes the feedback-processing part of the exploit-generation module. It reads attributed public logs, checks provenance, removes expected-result annotations, extracts diagnostic context and checks replay-record completeness. Source screening prepares candidate cases for future ext4/F2FS profiles. These outputs support Objectives 1 and 5 by preventing untraceable inputs or incomplete evidence from being mistaken for validated results.</w:t>
      </w: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Executed diagnostic data flow</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Pinned public text corpus → byte and hash validation → annotation removal → diagnostic-context parser → normalised record and comparison → evidence-completeness gate → JSON and tabular outputs.</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Keyword search is the comparator for diagnostic parsing. It is separate from both the local ML policy reference and the native coverage-guided selector in the proposed ACK experiment. The twelve files were selected for development, and parsing rules were reviewed together with their reference labels. Agreement on them checks this component; it does not measure the exploit-generation module as a whole.</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bottom w:w="65" w:type="dxa"/>
          <w:left w:w="85" w:type="dxa"/>
          <w:right w:w="85" w:type="dxa"/>
        </w:tblCellMar>
        <w:tblLook w:val="0000"/>
      </w:tblPr>
      <w:tblGrid>
        <w:gridCol w:w="3744"/>
        <w:gridCol w:w="5327"/>
      </w:tblGrid>
      <w:tr>
        <w:trPr>
          <w:cantSplit/>
          <w:tblHeader/>
        </w:trPr>
        <w:tc>
          <w:tcPr>
            <w:tcW w:type="dxa" w:w="3744"/>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2"/>
                <w:u w:val="none"/>
              </w:rPr>
              <w:t>Executed check</w:t>
            </w:r>
          </w:p>
        </w:tc>
        <w:tc>
          <w:tcPr>
            <w:tcW w:type="dxa" w:w="5327"/>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2"/>
                <w:u w:val="none"/>
              </w:rPr>
              <w:t>Observed output</w:t>
            </w:r>
          </w:p>
        </w:tc>
      </w:tr>
      <w:tr>
        <w:trPr>
          <w:cantSplit/>
        </w:trPr>
        <w:tc>
          <w:tcPr>
            <w:tcW w:type="dxa" w:w="37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Source and integrity</w:t>
            </w:r>
          </w:p>
        </w:tc>
        <w:tc>
          <w:tcPr>
            <w:tcW w:type="dxa" w:w="532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12 upstream parser fixtures; 46,570 bytes; 12/12 SHA-256 and size checks passed</w:t>
            </w:r>
          </w:p>
        </w:tc>
      </w:tr>
      <w:tr>
        <w:trPr>
          <w:cantSplit/>
        </w:trPr>
        <w:tc>
          <w:tcPr>
            <w:tcW w:type="dxa" w:w="37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Reference labels</w:t>
            </w:r>
          </w:p>
        </w:tc>
        <w:tc>
          <w:tcPr>
            <w:tcW w:type="dxa" w:w="532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5 ext4, 2 F2FS, 5 none; initial AI-assisted line-reviewed labels</w:t>
            </w:r>
          </w:p>
        </w:tc>
      </w:tr>
      <w:tr>
        <w:trPr>
          <w:cantSplit/>
        </w:trPr>
        <w:tc>
          <w:tcPr>
            <w:tcW w:type="dxa" w:w="37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Diagnostic parsing</w:t>
            </w:r>
          </w:p>
        </w:tc>
        <w:tc>
          <w:tcPr>
            <w:tcW w:type="dxa" w:w="532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10 supported diagnostics; 2 background or mount-message fixtures</w:t>
            </w:r>
          </w:p>
        </w:tc>
      </w:tr>
      <w:tr>
        <w:trPr>
          <w:cantSplit/>
        </w:trPr>
        <w:tc>
          <w:tcPr>
            <w:tcW w:type="dxa" w:w="37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Keyword baseline agreement</w:t>
            </w:r>
          </w:p>
        </w:tc>
        <w:tc>
          <w:tcPr>
            <w:tcW w:type="dxa" w:w="532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7/12 exact label matches (58.33 percent)</w:t>
            </w:r>
          </w:p>
        </w:tc>
      </w:tr>
      <w:tr>
        <w:trPr>
          <w:cantSplit/>
        </w:trPr>
        <w:tc>
          <w:tcPr>
            <w:tcW w:type="dxa" w:w="37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Structured parser agreement</w:t>
            </w:r>
          </w:p>
        </w:tc>
        <w:tc>
          <w:tcPr>
            <w:tcW w:type="dxa" w:w="532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12/12 exact label matches (100 percent); development sample only</w:t>
            </w:r>
          </w:p>
        </w:tc>
      </w:tr>
      <w:tr>
        <w:trPr>
          <w:cantSplit/>
        </w:trPr>
        <w:tc>
          <w:tcPr>
            <w:tcW w:type="dxa" w:w="37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Software tests and evidence gate</w:t>
            </w:r>
          </w:p>
        </w:tc>
        <w:tc>
          <w:tcPr>
            <w:tcW w:type="dxa" w:w="532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43 diagnostic tests passed; all 12 public fixtures rejected as incomplete trial evidence</w:t>
            </w:r>
          </w:p>
        </w:tc>
      </w:tr>
      <w:tr>
        <w:trPr>
          <w:cantSplit/>
        </w:trPr>
        <w:tc>
          <w:tcPr>
            <w:tcW w:type="dxa" w:w="37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Research outcomes</w:t>
            </w:r>
          </w:p>
        </w:tc>
        <w:tc>
          <w:tcPr>
            <w:tcW w:type="dxa" w:w="532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One parser-only model selected after fitting three regularization candidates; 0 ACK trials; verified defect-reproduction rate not estimated</w:t>
            </w:r>
          </w:p>
        </w:tc>
      </w:tr>
    </w:tbl>
    <w:p>
      <w:pPr>
        <w:keepNext w:val="0"/>
        <w:keepLines w:val="0"/>
        <w:pageBreakBefore w:val="0"/>
        <w:widowControl/>
        <w:spacing w:after="0" w:before="0" w:line="240" w:lineRule="auto"/>
        <w:ind w:left="0" w:right="0" w:firstLine="0"/>
        <w:jc w:val="both"/>
      </w:pP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Observed failure and interpretation</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Report 625 exposed a false negative in parser version 0.1.0: its BUG prose explicitly names ext4, but its stack contains generic VFS functions. Version 0.2.0 adds a narrow diagnostic-prose rule and now returns ext4. The original text and reference label were unchanged. Regression tests retain this corrected failure case; a separate sample is still needed to assess generalisation.</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Report 704 illustrates the opposite risk: F2FS appears in secondary page-history text while the primary diagnostic concerns Btrfs. Structured context avoids the keyword false match. Neither classification identifies a unique defect or demonstrates its reproduction. The labels still require student review; no independent reviewer agreement is claimed.</w:t>
      </w: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Executed ML seed selection prototype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color w:val="000000"/>
          <w:sz w:val="24"/>
          <w:u w:val="none"/>
        </w:rPr>
        <w:t>The ML subsystem prototypes the module’s learned selection interface: measured execution feedback becomes preselection features, a frozen model assigns scores, and the selected seed supplies the next generation step. Its current target is parse_report(text), a Python function processing diagnostic text. Text mutation supplies surrogate candidates and executed Python lines supply feedback. Objectives 2 and 3 are demonstrated at this component level; filesystem-operation generation and ACK feedback still require a new adapter and domain-specific training.</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color w:val="000000"/>
          <w:sz w:val="24"/>
          <w:u w:val="none"/>
        </w:rPr>
        <w:t>Collection executes 6,336 parser calls and records 1,536 decision rows. At each decision, four offspring are parsed; the label is one if they add a previously unseen line to the episode coverage set. Source-file ancestry is separated across training, validation and test: 6/2/4 files and 768/256/512 rows. Scaling and class weights use training data only. Inputs include seed size, line count, prior coverage, prior selections, historical success fraction, generation, current coverage and age; no future offspring result is a feature.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color w:val="000000"/>
          <w:sz w:val="24"/>
          <w:u w:val="none"/>
        </w:rPr>
        <w:t>The model is L2-regularised logistic regression fitted with 700 full-batch gradient steps and learning rate 0.08. Validation average precision selects L2 from 0.01, 0.1 and 1.0; the selected value is 0.01. Test data do not select the model. Class weighting means its scores should not be treated as calibrated success probabilities.</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bottom w:w="65" w:type="dxa"/>
          <w:left w:w="85" w:type="dxa"/>
          <w:right w:w="85" w:type="dxa"/>
        </w:tblCellMar>
        <w:tblLook w:val="0000"/>
      </w:tblPr>
      <w:tblGrid>
        <w:gridCol w:w="3744"/>
        <w:gridCol w:w="5327"/>
      </w:tblGrid>
      <w:tr>
        <w:trPr>
          <w:cantSplit/>
          <w:tblHeader/>
        </w:trPr>
        <w:tc>
          <w:tcPr>
            <w:tcW w:type="dxa" w:w="3744"/>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2"/>
                <w:u w:val="none"/>
              </w:rPr>
              <w:t>Measured item</w:t>
            </w:r>
          </w:p>
        </w:tc>
        <w:tc>
          <w:tcPr>
            <w:tcW w:type="dxa" w:w="5327"/>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2"/>
                <w:u w:val="none"/>
              </w:rPr>
              <w:t>Observed result</w:t>
            </w:r>
          </w:p>
        </w:tc>
      </w:tr>
      <w:tr>
        <w:trPr>
          <w:cantSplit/>
        </w:trPr>
        <w:tc>
          <w:tcPr>
            <w:tcW w:type="dxa" w:w="37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Held-out model scores</w:t>
            </w:r>
          </w:p>
        </w:tc>
        <w:tc>
          <w:tcPr>
            <w:tcW w:type="dxa" w:w="532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Test AP 0.394929; positive prevalence 0.261719; precision 0.391111, recall 0.656716, F1 0.490251 at threshold 0.5.</w:t>
            </w:r>
          </w:p>
        </w:tc>
      </w:tr>
      <w:tr>
        <w:trPr>
          <w:cantSplit/>
        </w:trPr>
        <w:tc>
          <w:tcPr>
            <w:tcW w:type="dxa" w:w="37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Online comparison</w:t>
            </w:r>
          </w:p>
        </w:tc>
        <w:tc>
          <w:tcPr>
            <w:tcW w:type="dxa" w:w="532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10 paired trials; 240 parser calls per policy per trial; 4,800 calls overall. Mean final coverage: reference 79.9 lines; ML 81.2 lines.</w:t>
            </w:r>
          </w:p>
        </w:tc>
      </w:tr>
      <w:tr>
        <w:trPr>
          <w:cantSplit/>
        </w:trPr>
        <w:tc>
          <w:tcPr>
            <w:tcW w:type="dxa" w:w="37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Negative case</w:t>
            </w:r>
          </w:p>
        </w:tc>
        <w:tc>
          <w:tcPr>
            <w:tcW w:type="dxa" w:w="532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Trial seed 90219: ML 78 lines versus reference 79. Mean paired difference across all trials: +1.3 parser lines.</w:t>
            </w:r>
          </w:p>
        </w:tc>
      </w:tr>
      <w:tr>
        <w:trPr>
          <w:cantSplit/>
        </w:trPr>
        <w:tc>
          <w:tcPr>
            <w:tcW w:type="dxa" w:w="37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Software checks</w:t>
            </w:r>
          </w:p>
        </w:tc>
        <w:tc>
          <w:tcPr>
            <w:tcW w:type="dxa" w:w="532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2"/>
                <w:u w:val="none"/>
              </w:rPr>
              <w:t>14 ML integrity and regression checks passed; model, telemetry, predictions and policy traces are retained.</w:t>
            </w:r>
          </w:p>
        </w:tc>
      </w:tr>
    </w:tbl>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color w:val="000000"/>
          <w:sz w:val="24"/>
          <w:u w:val="none"/>
        </w:rPr>
        <w:t>Both policies use identical initial texts, mutation operators and corpus admission. The reference weights seeds by novelty and prior use; it is a local comparator, not native syzkaller. The ML policy uses 90 percent highest-score selection and 10 percent uniform exploration. This smoke test equalises parser-call counts, whereas the future ACK experiment equalises wall-clock time.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color w:val="000000"/>
          <w:sz w:val="24"/>
          <w:u w:val="none"/>
        </w:rPr>
        <w:t>All twelve sources informed parser development; the 512 model-test rows descend from four files. File ancestry is not verified defect lineage, and validation has no F2FS-positive original. The local result therefore demonstrates an operating selection-feedback loop, not Android defect reproduction or exploit effectiveness. Trial 90219 is a retained negative case. The source register separately contains five historical cases, including one excluded concurrency race; no case is yet a locally validated eligible ACK fixture.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color w:val="000000"/>
          <w:sz w:val="24"/>
          <w:u w:val="none"/>
        </w:rPr>
        <w:t>Integration will retain the feature–score–selection contract while replacing text inputs and Python line feedback with qualified filesystem inputs and ACK telemetry. The diagnostic component will then consume execution logs, and verified reproducer records will be eligible inputs to the separately implemented exploit-construction stage. Transfer of the trained text model is not assumed.</w:t>
      </w:r>
    </w:p>
    <w:p>
      <w:pPr>
        <w:pStyle w:val="Heading1"/>
        <w:keepNext/>
        <w:keepLines/>
        <w:pageBreakBefore/>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8 Methodology alignment table</w:t>
      </w:r>
    </w:p>
    <w:p>
      <w:pPr>
        <w:keepNext w:val="0"/>
        <w:keepLines w:val="0"/>
        <w:pageBreakBefore w:val="0"/>
        <w:widowControl/>
        <w:spacing w:before="0" w:after="60" w:line="276" w:lineRule="auto"/>
        <w:ind w:left="0" w:right="0" w:firstLine="709"/>
        <w:jc w:val="both"/>
      </w:pPr>
      <w:r>
        <w:rPr>
          <w:rFonts w:ascii="Times New Roman" w:hAnsi="Times New Roman" w:eastAsia="Times New Roman" w:cs="Times New Roman"/>
          <w:b w:val="0"/>
          <w:color w:val="000000"/>
          <w:sz w:val="22"/>
          <w:u w:val="none"/>
        </w:rPr>
        <w:t>Each retained objective develops or evaluates a specific module capability. The broader aim also requires exploit construction and validation; neither is covered by the current reproduction hypotheses or presented as completed.</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bottom w:w="65" w:type="dxa"/>
          <w:left w:w="85" w:type="dxa"/>
          <w:right w:w="85" w:type="dxa"/>
        </w:tblCellMar>
        <w:tblLook w:val="0000"/>
      </w:tblPr>
      <w:tblGrid>
        <w:gridCol w:w="1191"/>
        <w:gridCol w:w="1531"/>
        <w:gridCol w:w="1644"/>
        <w:gridCol w:w="1644"/>
        <w:gridCol w:w="1531"/>
        <w:gridCol w:w="1531"/>
      </w:tblGrid>
      <w:tr>
        <w:trPr>
          <w:cantSplit/>
          <w:tblHeader/>
        </w:trPr>
        <w:tc>
          <w:tcPr>
            <w:tcW w:type="dxa" w:w="1191"/>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1"/>
                <w:u w:val="none"/>
              </w:rPr>
              <w:t>Objective</w:t>
            </w:r>
          </w:p>
        </w:tc>
        <w:tc>
          <w:tcPr>
            <w:tcW w:type="dxa" w:w="1531"/>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1"/>
                <w:u w:val="none"/>
              </w:rPr>
              <w:t>Module capability</w:t>
            </w:r>
          </w:p>
        </w:tc>
        <w:tc>
          <w:tcPr>
            <w:tcW w:type="dxa" w:w="1644"/>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1"/>
                <w:u w:val="none"/>
              </w:rPr>
              <w:t>Evidence and sample</w:t>
            </w:r>
          </w:p>
        </w:tc>
        <w:tc>
          <w:tcPr>
            <w:tcW w:type="dxa" w:w="1644"/>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1"/>
                <w:u w:val="none"/>
              </w:rPr>
              <w:t>Collection or instrument</w:t>
            </w:r>
          </w:p>
        </w:tc>
        <w:tc>
          <w:tcPr>
            <w:tcW w:type="dxa" w:w="1531"/>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1"/>
                <w:u w:val="none"/>
              </w:rPr>
              <w:t>Analysis method</w:t>
            </w:r>
          </w:p>
        </w:tc>
        <w:tc>
          <w:tcPr>
            <w:tcW w:type="dxa" w:w="1531"/>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1"/>
                <w:u w:val="none"/>
              </w:rPr>
              <w:t>Contribution and limit</w:t>
            </w:r>
          </w:p>
        </w:tc>
      </w:tr>
      <w:tr>
        <w:trPr>
          <w:cantSplit/>
        </w:trPr>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O1</w:t>
              <w:br/>
              <w:t>Validate fixtures</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Filesystem profiles and traceable fixture registry</w:t>
            </w:r>
          </w:p>
        </w:tc>
        <w:tc>
          <w:tcPr>
            <w:tcW w:type="dxa" w:w="16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Actual: five source records; 12 public texts</w:t>
              <w:br/>
              <w:t>Planned: qualified ACK lineages</w:t>
            </w:r>
          </w:p>
        </w:tc>
        <w:tc>
          <w:tcPr>
            <w:tcW w:type="dxa" w:w="16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Source register, parser and curator replay protocol</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Screening, lineage and affected/fixed audit</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Prepares eligible module inputs; source records alone do not validate a fixture</w:t>
            </w:r>
          </w:p>
        </w:tc>
      </w:tr>
      <w:tr>
        <w:trPr>
          <w:cantSplit/>
        </w:trPr>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O2</w:t>
              <w:br/>
              <w:t>Develop ranker</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ML selection and generator interface</w:t>
            </w:r>
          </w:p>
        </w:tc>
        <w:tc>
          <w:tcPr>
            <w:tcW w:type="dxa" w:w="16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Actual: parser model and 6/2/4 source split</w:t>
              <w:br/>
              <w:t>Planned: 8/4 ACK train/validation lineages</w:t>
            </w:r>
          </w:p>
        </w:tc>
        <w:tc>
          <w:tcPr>
            <w:tcW w:type="dxa" w:w="16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Training-only preprocessing, observed labels and frozen ranker</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AP, class balance, calibration and latency</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Demonstrates selection logic; ACK integration and target training pending</w:t>
            </w:r>
          </w:p>
        </w:tc>
      </w:tr>
      <w:tr>
        <w:trPr>
          <w:cantSplit/>
        </w:trPr>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O3</w:t>
              <w:br/>
              <w:t>Run fair comparison</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Generation and execution feedback loop</w:t>
            </w:r>
          </w:p>
        </w:tc>
        <w:tc>
          <w:tcPr>
            <w:tcW w:type="dxa" w:w="16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Actual: 10 paired parser trials</w:t>
              <w:br/>
              <w:t>Planned: 200 ACK sessions</w:t>
            </w:r>
          </w:p>
        </w:tc>
        <w:tc>
          <w:tcPr>
            <w:tcW w:type="dxa" w:w="16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Actual: 240 calls per policy</w:t>
              <w:br/>
              <w:t>Planned: 1,800 seconds and clean snapshots</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Budget, configuration and pair-completion audit</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Tests the policy contribution at each stated target and budget</w:t>
            </w:r>
          </w:p>
        </w:tc>
      </w:tr>
      <w:tr>
        <w:trPr>
          <w:cantSplit/>
        </w:trPr>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O4</w:t>
              <w:br/>
              <w:t>Estimate effects</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Verified-reproducer output of the module</w:t>
            </w:r>
          </w:p>
        </w:tc>
        <w:tc>
          <w:tcPr>
            <w:tcW w:type="dxa" w:w="16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Planned: 20 held-out ACK fixtures and five paired repeats</w:t>
            </w:r>
          </w:p>
        </w:tc>
        <w:tc>
          <w:tcPr>
            <w:tcW w:type="dxa" w:w="16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Signature and provenance review; affected/fixed resets</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Paired rates and capped times; fixture bootstrap; missingness bounds</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Measures an intermediate capability, not validated exploit generation</w:t>
            </w:r>
          </w:p>
        </w:tc>
      </w:tr>
      <w:tr>
        <w:trPr>
          <w:cantSplit/>
        </w:trPr>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O5</w:t>
              <w:br/>
              <w:t>Assess cost and limits</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Evidence quality and readiness for downstream stages</w:t>
            </w:r>
          </w:p>
        </w:tc>
        <w:tc>
          <w:tcPr>
            <w:tcW w:type="dxa" w:w="16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Actual: parser/model records and tests</w:t>
              <w:br/>
              <w:t>Planned: ACK audits</w:t>
            </w:r>
          </w:p>
        </w:tc>
        <w:tc>
          <w:tcPr>
            <w:tcW w:type="dxa" w:w="164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Runtime logs, evidence gate and blinded review</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Costs, failures, leakage and unresolved validation</w:t>
            </w:r>
          </w:p>
        </w:tc>
        <w:tc>
          <w:tcPr>
            <w:tcW w:type="dxa" w:w="153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Defines limits of downstream exploit construction and validation</w:t>
            </w:r>
          </w:p>
        </w:tc>
      </w:tr>
    </w:tbl>
    <w:p>
      <w:pPr>
        <w:keepNext w:val="0"/>
        <w:keepLines w:val="0"/>
        <w:pageBreakBefore w:val="0"/>
        <w:widowControl/>
        <w:spacing w:after="60" w:before="0" w:line="276" w:lineRule="auto"/>
        <w:ind w:left="0" w:right="0" w:firstLine="0"/>
        <w:jc w:val="both"/>
      </w:pP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Module implementation status</w:t>
      </w:r>
    </w:p>
    <w:p>
      <w:pPr>
        <w:keepNext w:val="0"/>
        <w:keepLines w:val="0"/>
        <w:pageBreakBefore w:val="0"/>
        <w:widowControl/>
        <w:spacing w:before="0" w:after="60" w:line="276" w:lineRule="auto"/>
        <w:ind w:left="0" w:right="0" w:firstLine="709"/>
        <w:jc w:val="both"/>
      </w:pPr>
      <w:r>
        <w:rPr>
          <w:rFonts w:ascii="Times New Roman" w:hAnsi="Times New Roman" w:eastAsia="Times New Roman" w:cs="Times New Roman"/>
          <w:b w:val="0"/>
          <w:color w:val="000000"/>
          <w:sz w:val="22"/>
          <w:u w:val="none"/>
        </w:rPr>
        <w:t>Implemented and exercised: public-text ingestion, diagnostic parsing and metadata checks; parser-only telemetry, model training and local selection comparison; source-level candidate screening. Specified but pending: ext4/F2FS ACK profiles, qualified fixture pairs, kernel execution, ACK model training, native-engine integration and reproducibility trials. Proposed downstream work: exploit construction and exploit-level validation.</w:t>
      </w:r>
    </w:p>
    <w:p>
      <w:pPr>
        <w:keepNext w:val="0"/>
        <w:keepLines w:val="0"/>
        <w:pageBreakBefore w:val="0"/>
        <w:widowControl/>
        <w:spacing w:before="0" w:after="60" w:line="276" w:lineRule="auto"/>
        <w:ind w:left="0" w:right="0" w:firstLine="709"/>
        <w:jc w:val="both"/>
      </w:pPr>
      <w:r>
        <w:rPr>
          <w:rFonts w:ascii="Times New Roman" w:hAnsi="Times New Roman" w:eastAsia="Times New Roman" w:cs="Times New Roman"/>
          <w:b w:val="0"/>
          <w:color w:val="000000"/>
          <w:sz w:val="22"/>
          <w:u w:val="none"/>
        </w:rPr>
        <w:t>The assignment supplies architecture and initial working components for the stated module-development topic. It does not report a completed exploit generator. The next decision is whether these components can be integrated and validated against the target ACK fixtures before any exploit-level evaluation is attempted.</w:t>
      </w:r>
    </w:p>
    <w:p>
      <w:pPr>
        <w:pStyle w:val="Heading1"/>
        <w:keepNext/>
        <w:keepLines/>
        <w:pageBreakBefore/>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9 References</w:t>
      </w:r>
    </w:p>
    <w:p>
      <w:pPr>
        <w:keepNext w:val="0"/>
        <w:keepLines w:val="0"/>
        <w:pageBreakBefore w:val="0"/>
        <w:widowControl/>
        <w:spacing w:before="0" w:after="180" w:line="276" w:lineRule="auto"/>
        <w:ind w:left="0" w:right="0" w:firstLine="0"/>
        <w:jc w:val="both"/>
      </w:pPr>
      <w:r>
        <w:rPr>
          <w:rFonts w:ascii="Times New Roman" w:hAnsi="Times New Roman" w:eastAsia="Times New Roman" w:cs="Times New Roman"/>
          <w:b w:val="0"/>
          <w:color w:val="000000"/>
          <w:sz w:val="22"/>
          <w:u w:val="none"/>
        </w:rPr>
        <w:t>References are numbered for this report. Public web documentation was checked on 18 October 2026; the practical corpus is pinned to the immutable revision below.</w:t>
      </w:r>
    </w:p>
    <w:p>
      <w:pPr>
        <w:keepNext w:val="0"/>
        <w:keepLines/>
        <w:pageBreakBefore w:val="0"/>
        <w:widowControl/>
        <w:spacing w:after="140" w:line="240" w:lineRule="auto" w:before="0"/>
        <w:ind w:left="425" w:right="0" w:hanging="425"/>
        <w:jc w:val="left"/>
      </w:pPr>
      <w:r>
        <w:rPr>
          <w:rFonts w:ascii="Times New Roman" w:hAnsi="Times New Roman" w:eastAsia="Times New Roman" w:cs="Times New Roman"/>
          <w:b w:val="0"/>
          <w:color w:val="000000"/>
          <w:sz w:val="22"/>
          <w:u w:val="none"/>
        </w:rPr>
        <w:t>[1] Google. syzkaller: coverage-guided kernel fuzzer. Source repository, commit abce12164965bc4439aad38d787d980496e3f106 (22 September 2026). https://github.com/google/syzkaller/tree/abce12164965bc4439aad38d787d980496e3f106</w:t>
      </w:r>
    </w:p>
    <w:p>
      <w:pPr>
        <w:keepNext w:val="0"/>
        <w:keepLines/>
        <w:pageBreakBefore w:val="0"/>
        <w:widowControl/>
        <w:spacing w:after="140" w:line="240" w:lineRule="auto" w:before="0"/>
        <w:ind w:left="425" w:right="0" w:hanging="425"/>
        <w:jc w:val="left"/>
      </w:pPr>
      <w:r>
        <w:rPr>
          <w:rFonts w:ascii="Times New Roman" w:hAnsi="Times New Roman" w:eastAsia="Times New Roman" w:cs="Times New Roman"/>
          <w:b w:val="0"/>
          <w:color w:val="000000"/>
          <w:sz w:val="22"/>
          <w:u w:val="none"/>
        </w:rPr>
        <w:t>[2] D. Wang, Z. Zhang, H. Zhang, Z. Qian, S. V. Krishnamurthy, and N. Abu-Ghazaleh. SyzVegas: Beating Kernel Fuzzing Odds with Reinforcement Learning. USENIX Security, 2021, pp. 2741–2758. https://www.usenix.org/conference/usenixsecurity21/presentation/wang-daimeng</w:t>
      </w:r>
    </w:p>
    <w:p>
      <w:pPr>
        <w:keepNext w:val="0"/>
        <w:keepLines/>
        <w:pageBreakBefore w:val="0"/>
        <w:widowControl/>
        <w:spacing w:after="140" w:line="240" w:lineRule="auto" w:before="0"/>
        <w:ind w:left="425" w:right="0" w:hanging="425"/>
        <w:jc w:val="left"/>
      </w:pPr>
      <w:r>
        <w:rPr>
          <w:rFonts w:ascii="Times New Roman" w:hAnsi="Times New Roman" w:eastAsia="Times New Roman" w:cs="Times New Roman"/>
          <w:b w:val="0"/>
          <w:color w:val="000000"/>
          <w:sz w:val="22"/>
          <w:u w:val="none"/>
        </w:rPr>
        <w:t>[3] W. Xu, H. Moon, S. Kashyap, P.-N. Tseng, and T. Kim. Fuzzing File Systems via Two-Dimensional Input Space Exploration. IEEE Symposium on Security and Privacy, 2019, pp. 818–834. https://doi.org/10.1109/SP.2019.00035</w:t>
      </w:r>
    </w:p>
    <w:p>
      <w:pPr>
        <w:keepNext w:val="0"/>
        <w:keepLines/>
        <w:pageBreakBefore w:val="0"/>
        <w:widowControl/>
        <w:spacing w:after="140" w:line="240" w:lineRule="auto" w:before="0"/>
        <w:ind w:left="425" w:right="0" w:hanging="425"/>
        <w:jc w:val="left"/>
      </w:pPr>
      <w:r>
        <w:rPr>
          <w:rFonts w:ascii="Times New Roman" w:hAnsi="Times New Roman" w:eastAsia="Times New Roman" w:cs="Times New Roman"/>
          <w:b w:val="0"/>
          <w:color w:val="000000"/>
          <w:sz w:val="22"/>
          <w:u w:val="none"/>
        </w:rPr>
        <w:t>[4] Android Open Source Project. Android common kernels. Technical documentation. https://source.android.com/docs/core/architecture/kernel/android-common</w:t>
      </w:r>
    </w:p>
    <w:p>
      <w:pPr>
        <w:keepNext w:val="0"/>
        <w:keepLines/>
        <w:pageBreakBefore w:val="0"/>
        <w:widowControl/>
        <w:spacing w:after="140" w:line="240" w:lineRule="auto" w:before="0"/>
        <w:ind w:left="425" w:right="0" w:hanging="425"/>
        <w:jc w:val="left"/>
      </w:pPr>
      <w:r>
        <w:rPr>
          <w:rFonts w:ascii="Times New Roman" w:hAnsi="Times New Roman" w:eastAsia="Times New Roman" w:cs="Times New Roman"/>
          <w:b w:val="0"/>
          <w:color w:val="000000"/>
          <w:sz w:val="22"/>
          <w:u w:val="none"/>
        </w:rPr>
        <w:t>[5] The Linux Kernel documentation. KCOV: code coverage for fuzzing. https://docs.kernel.org/dev-tools/kcov.html</w:t>
      </w:r>
    </w:p>
    <w:p>
      <w:pPr>
        <w:keepNext w:val="0"/>
        <w:keepLines/>
        <w:pageBreakBefore w:val="0"/>
        <w:widowControl/>
        <w:spacing w:after="140" w:line="240" w:lineRule="auto" w:before="0"/>
        <w:ind w:left="425" w:right="0" w:hanging="425"/>
        <w:jc w:val="left"/>
      </w:pPr>
      <w:r>
        <w:rPr>
          <w:rFonts w:ascii="Times New Roman" w:hAnsi="Times New Roman" w:eastAsia="Times New Roman" w:cs="Times New Roman"/>
          <w:b w:val="0"/>
          <w:color w:val="000000"/>
          <w:sz w:val="22"/>
          <w:u w:val="none"/>
        </w:rPr>
        <w:t>[6] The Linux Kernel documentation. Kernel Address Sanitizer (KASAN). https://docs.kernel.org/dev-tools/kasan.html</w:t>
      </w:r>
    </w:p>
    <w:p>
      <w:pPr>
        <w:keepNext w:val="0"/>
        <w:keepLines/>
        <w:pageBreakBefore w:val="0"/>
        <w:widowControl/>
        <w:spacing w:after="140" w:line="240" w:lineRule="auto" w:before="0"/>
        <w:ind w:left="425" w:right="0" w:hanging="425"/>
        <w:jc w:val="left"/>
      </w:pPr>
      <w:r>
        <w:rPr>
          <w:rFonts w:ascii="Times New Roman" w:hAnsi="Times New Roman" w:eastAsia="Times New Roman" w:cs="Times New Roman"/>
          <w:b w:val="0"/>
          <w:color w:val="000000"/>
          <w:sz w:val="22"/>
          <w:u w:val="none"/>
        </w:rPr>
        <w:t>[7] Scikit-learn developers. LogisticRegression and common pitfalls in preprocessing and data leakage. Technical documentation. https://scikit-learn.org/stable/modules/generated/sklearn.linear_model.LogisticRegression.html ; https://scikit-learn.org/stable/common_pitfalls.html</w:t>
      </w:r>
    </w:p>
    <w:p>
      <w:pPr>
        <w:keepNext w:val="0"/>
        <w:keepLines/>
        <w:pageBreakBefore w:val="0"/>
        <w:widowControl/>
        <w:spacing w:after="140" w:line="240" w:lineRule="auto" w:before="0"/>
        <w:ind w:left="425" w:right="0" w:hanging="425"/>
        <w:jc w:val="left"/>
      </w:pPr>
      <w:r>
        <w:rPr>
          <w:rFonts w:ascii="Times New Roman" w:hAnsi="Times New Roman" w:eastAsia="Times New Roman" w:cs="Times New Roman"/>
          <w:b w:val="0"/>
          <w:color w:val="000000"/>
          <w:sz w:val="22"/>
          <w:u w:val="none"/>
        </w:rPr>
        <w:t>[8] G. Klees, A. Ruef, B. Cooper, S. Wei, and M. Hicks. Evaluating Fuzz Testing. ACM CCS, 2018, pp. 2123–2138. https://doi.org/10.1145/3243734.3243804</w:t>
      </w:r>
    </w:p>
    <w:p>
      <w:pPr>
        <w:keepNext w:val="0"/>
        <w:keepLines/>
        <w:pageBreakBefore w:val="0"/>
        <w:widowControl/>
        <w:spacing w:after="140" w:line="240" w:lineRule="auto" w:before="0"/>
        <w:ind w:left="425" w:right="0" w:hanging="425"/>
        <w:jc w:val="left"/>
      </w:pPr>
      <w:r>
        <w:rPr>
          <w:rFonts w:ascii="Times New Roman" w:hAnsi="Times New Roman" w:eastAsia="Times New Roman" w:cs="Times New Roman"/>
          <w:b w:val="0"/>
          <w:color w:val="000000"/>
          <w:sz w:val="22"/>
          <w:u w:val="none"/>
        </w:rPr>
        <w:t>[9] T. Avgerinos, S. K. Cha, B. L. T. Hao, and D. Brumley. AEG: Automatic Exploit Generation. NDSS, 2011. https://www.ndss-symposium.org/ndss2011/aeg-automatic-exploit-generation/</w:t>
      </w: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AI assistance and evidence provenance</w:t>
      </w:r>
    </w:p>
    <w:p>
      <w:pPr>
        <w:keepNext w:val="0"/>
        <w:keepLines w:val="0"/>
        <w:pageBreakBefore w:val="0"/>
        <w:widowControl/>
        <w:spacing w:before="0" w:after="0" w:line="360" w:lineRule="auto"/>
        <w:ind w:left="0" w:right="0" w:firstLine="709"/>
        <w:jc w:val="both"/>
      </w:pPr>
      <w:r>
        <w:rPr>
          <w:rFonts w:ascii="Times New Roman" w:hAnsi="Times New Roman" w:eastAsia="Times New Roman" w:cs="Times New Roman"/>
          <w:b w:val="0"/>
          <w:color w:val="000000"/>
          <w:sz w:val="24"/>
          <w:u w:val="none"/>
        </w:rPr>
        <w:t>ChatGPT/Codex assisted with methodology drafting, source checking, Python implementation and document formatting. The reported outputs were produced by executing the submitted programs. The parser-only model was trained on measured coverage of semisynthetic text inputs derived from attributed public files; these inputs are not real kernel crash observations. Hand-authored software test records are labelled and excluded from research outcomes. No Android kernel was run and no ACK experiment result is reported. Both students remain responsible for verification, independent defence and compliance with course rules.</w:t>
      </w:r>
    </w:p>
    <w:p>
      <w:pPr>
        <w:pStyle w:val="Heading1"/>
        <w:keepNext/>
        <w:keepLines/>
        <w:pageBreakBefore/>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Appendix A Module evaluation protocol</w:t>
      </w:r>
    </w:p>
    <w:p>
      <w:pPr>
        <w:keepNext w:val="0"/>
        <w:keepLines w:val="0"/>
        <w:pageBreakBefore w:val="0"/>
        <w:widowControl/>
        <w:spacing w:before="0" w:after="60" w:line="240" w:lineRule="auto"/>
        <w:ind w:left="0" w:right="0" w:firstLine="709"/>
        <w:jc w:val="both"/>
      </w:pPr>
      <w:r>
        <w:rPr>
          <w:rFonts w:ascii="Times New Roman" w:hAnsi="Times New Roman" w:eastAsia="Times New Roman" w:cs="Times New Roman"/>
          <w:b w:val="0"/>
          <w:color w:val="000000"/>
          <w:sz w:val="22"/>
          <w:u w:val="none"/>
        </w:rPr>
        <w:t>Protocol version A3.3. These settings govern evaluation of the module’s learned selection and defect-reproduction stages. They do not define a completed exploit-generation experiment. The pilot must establish compatibility and freeze the fixture manifest before held-out testing.</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bottom w:w="65" w:type="dxa"/>
          <w:left w:w="85" w:type="dxa"/>
          <w:right w:w="85" w:type="dxa"/>
        </w:tblCellMar>
        <w:tblLook w:val="0000"/>
      </w:tblPr>
      <w:tblGrid>
        <w:gridCol w:w="1740"/>
        <w:gridCol w:w="7330"/>
      </w:tblGrid>
      <w:tr>
        <w:trPr>
          <w:cantSplit/>
          <w:tblHeader/>
        </w:trPr>
        <w:tc>
          <w:tcPr>
            <w:tcW w:type="dxa" w:w="1740"/>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1"/>
                <w:u w:val="none"/>
              </w:rPr>
              <w:t>Item</w:t>
            </w:r>
          </w:p>
        </w:tc>
        <w:tc>
          <w:tcPr>
            <w:tcW w:type="dxa" w:w="7330"/>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1"/>
                <w:u w:val="none"/>
              </w:rPr>
              <w:t>Specification</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Source and baseline</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syzkaller abce12164965bc4439aad38d787d980496e3f106; unmodified native corpus selection in the conventional arm. Engine integration remains pending.</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Target environment</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Selected ACK affected/fixed commits per fixture; ext4 or F2FS; x86-64 QEMU; 4 vCPUs and 8 GiB RAM per guest; no network; disposable disk snapshot. Exact kernel and toolchain versions await compatibility validation.</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Instrumentation</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Identical kernel configuration in each affected/fixed pair except the fix; KCOV coverage and KASAN diagnostics where supported. Fix-only control preferred; otherwise document unavoidable differences.</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Model</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Training-only median imputation and standardisation; filesystem encoding; L2 logistic regression; C selected from 0.1, 1, 10; maximum 1,000 iterations; frozen after validation. If fitting fails or only one class is available, collect additional development data.</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Selection and randomisation</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ML: 90 percent highest-score seed, 10 percent uniform exploration; ties resolved by seed hash. Native policy retained in comparator. Pair IDs, policy order, mutation seeds and separate exploration RNG recorded before runs.</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Budget</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1,800 seconds per session including online work and in-session resets. Five paired repeats per fixture: 100 planned generation-hours. Replacement pairs, pilot, builds and training require additional time. CPU allocation and concurrency are fixed.</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Verification</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First three distinct target-matching candidates by discovery time; 3 affected and 3 fixed fresh resets per candidate. Provisional 60 seconds per reset/replay, calibrated and frozen after the pilot. Fixed controls must finish normally without the target signature. At that cap: up to 18 verification-minutes per session and 60 hours for the original 200 sessions, excluding replacement attempts.</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Invalid runs</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Only infrastructure faults invalidate a pair: failed provisioning, missing log/clock, resource or configuration mismatch. Target crashes, nonreproductions and normal replay timeouts remain unsuccessful candidates. One replacement pair permitted; report unresolved missingness.</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Decision rule</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Estimate ML-minus-native rate difference and 95 percent fixture-bootstrap interval. Report inconclusive results honestly; no superiority threshold selected after seeing held-out outcomes.</w:t>
            </w:r>
          </w:p>
        </w:tc>
      </w:tr>
    </w:tbl>
    <w:p>
      <w:pPr>
        <w:keepNext w:val="0"/>
        <w:keepLines w:val="0"/>
        <w:pageBreakBefore w:val="0"/>
        <w:widowControl/>
        <w:spacing w:after="60" w:before="0" w:line="240" w:lineRule="auto"/>
        <w:ind w:left="0" w:right="0" w:firstLine="0"/>
        <w:jc w:val="both"/>
      </w:pP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Primary aggregation</w:t>
      </w:r>
    </w:p>
    <w:p>
      <w:pPr>
        <w:keepNext w:val="0"/>
        <w:keepLines w:val="0"/>
        <w:pageBreakBefore w:val="0"/>
        <w:widowControl/>
        <w:spacing w:before="0" w:after="60" w:line="240" w:lineRule="auto"/>
        <w:ind w:left="0" w:right="0" w:firstLine="709"/>
        <w:jc w:val="both"/>
      </w:pPr>
      <w:r>
        <w:rPr>
          <w:rFonts w:ascii="Times New Roman" w:hAnsi="Times New Roman" w:eastAsia="Times New Roman" w:cs="Times New Roman"/>
          <w:b w:val="0"/>
          <w:color w:val="000000"/>
          <w:sz w:val="22"/>
          <w:u w:val="none"/>
        </w:rPr>
        <w:t>For each fixture, average the five session outcomes for each policy and subtract native from ML. Average these paired differences within ext4 and within F2FS. The overall effect is one half of each filesystem mean. Keep complete pairs together in resampling. If repeats are missing, report available paired repeats and the prespecified extreme-case bounds; do not silently replace missing outcomes with zero.</w:t>
      </w:r>
    </w:p>
    <w:p>
      <w:pPr>
        <w:pStyle w:val="Heading1"/>
        <w:keepNext/>
        <w:keepLines/>
        <w:pageBreakBefore/>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Appendix B Module records and reproduction</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bottom w:w="65" w:type="dxa"/>
          <w:left w:w="85" w:type="dxa"/>
          <w:right w:w="85" w:type="dxa"/>
        </w:tblCellMar>
        <w:tblLook w:val="0000"/>
      </w:tblPr>
      <w:tblGrid>
        <w:gridCol w:w="1740"/>
        <w:gridCol w:w="7330"/>
      </w:tblGrid>
      <w:tr>
        <w:trPr>
          <w:cantSplit/>
          <w:tblHeader/>
        </w:trPr>
        <w:tc>
          <w:tcPr>
            <w:tcW w:type="dxa" w:w="1740"/>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1"/>
                <w:u w:val="none"/>
              </w:rPr>
              <w:t>Record</w:t>
            </w:r>
          </w:p>
        </w:tc>
        <w:tc>
          <w:tcPr>
            <w:tcW w:type="dxa" w:w="7330"/>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1"/>
                <w:u w:val="none"/>
              </w:rPr>
              <w:t>Required fields and purpose</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Fixture manifest</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fixture_id, lineage_id, filesystem, source URL, affected/fixed commit, configuration and image hashes, expected signature, split and eligibility reason. This is the proposed contract between a filesystem profile, generator and verification stage.</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Development telemetry</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lineage_id, seed hash, preselection features, timestamp, window ID, coverage-before hash, gain label and missing reason. Connects execution feedback to model training without future information in predictors.</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Trial record</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fixture_id, pair_id, repeat, policy, model/engine hash, RNG seed, start/end clock, elapsed seconds, executed-test count, candidate hashes/times, infrastructure status. Supports paired budget audits.</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Replay record</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candidate hash, affected/fixed role, kernel/config/image hash, unique reset ID, completion state, observed signature and raw-log hash. Six distinct replay records are necessary; metadata completeness alone cannot prove that execution occurred.</w:t>
            </w:r>
          </w:p>
        </w:tc>
      </w:tr>
      <w:tr>
        <w:trPr>
          <w:cantSplit/>
        </w:trPr>
        <w:tc>
          <w:tcPr>
            <w:tcW w:type="dxa" w:w="174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Analysis record</w:t>
            </w:r>
          </w:p>
        </w:tc>
        <w:tc>
          <w:tcPr>
            <w:tcW w:type="dxa" w:w="7330"/>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verified-reproduction flag, reason, capped time, pair validity, fixture and filesystem. This record stops at defect reproduction; any future exploit artifact and impact-validation record require a separate schema and evidence.</w:t>
            </w:r>
          </w:p>
        </w:tc>
      </w:tr>
    </w:tbl>
    <w:p>
      <w:pPr>
        <w:keepNext w:val="0"/>
        <w:keepLines w:val="0"/>
        <w:pageBreakBefore w:val="0"/>
        <w:widowControl/>
        <w:spacing w:after="60" w:before="0" w:line="240" w:lineRule="auto"/>
        <w:ind w:left="0" w:right="0" w:firstLine="0"/>
        <w:jc w:val="both"/>
      </w:pP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Actual software environment and source</w:t>
      </w:r>
    </w:p>
    <w:p>
      <w:pPr>
        <w:keepNext w:val="0"/>
        <w:keepLines w:val="0"/>
        <w:pageBreakBefore w:val="0"/>
        <w:widowControl/>
        <w:spacing w:before="0" w:after="60" w:line="240" w:lineRule="auto"/>
        <w:ind w:left="0" w:right="0" w:firstLine="709"/>
        <w:jc w:val="both"/>
      </w:pPr>
      <w:r>
        <w:rPr>
          <w:rFonts w:ascii="Times New Roman" w:hAnsi="Times New Roman" w:eastAsia="Times New Roman" w:cs="Times New Roman"/>
          <w:b w:val="0"/>
          <w:color w:val="000000"/>
          <w:sz w:val="22"/>
          <w:u w:val="none"/>
        </w:rPr>
        <w:t>Executed environment: CPython 3.12.14 on Windows 11 build 10.0.26200, standard library only. Diagnostic parser version 0.2.0; the separate ML prototype uses the same standard-library-only Python environment. The environment record includes hashes of the submitted source files.</w:t>
      </w:r>
    </w:p>
    <w:p>
      <w:pPr>
        <w:keepNext w:val="0"/>
        <w:keepLines w:val="0"/>
        <w:pageBreakBefore w:val="0"/>
        <w:widowControl/>
        <w:spacing w:before="0" w:after="60" w:line="240" w:lineRule="auto"/>
        <w:ind w:left="0" w:right="0" w:firstLine="709"/>
        <w:jc w:val="both"/>
      </w:pPr>
      <w:r>
        <w:rPr>
          <w:rFonts w:ascii="Times New Roman" w:hAnsi="Times New Roman" w:eastAsia="Times New Roman" w:cs="Times New Roman"/>
          <w:b w:val="0"/>
          <w:color w:val="000000"/>
          <w:sz w:val="22"/>
          <w:u w:val="none"/>
        </w:rPr>
        <w:t>Source: google/syzkaller, commit abce12164965bc4439aad38d787d980496e3f106, dated 22 September 2026. Corpus path: pkg/report/testdata/linux/report. Retrieved 18 October 2026. Twelve text files were selected from 759 numeric fixtures; 36 contained target-filesystem substrings. Exact immutable URLs, byte counts, SHA-256 hashes and the Apache-2.0 licence are retained [1].</w:t>
      </w: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Reproduce the implemented module components</w:t>
      </w:r>
    </w:p>
    <w:p>
      <w:pPr>
        <w:keepNext w:val="0"/>
        <w:keepLines w:val="0"/>
        <w:pageBreakBefore w:val="0"/>
        <w:widowControl/>
        <w:spacing w:before="0" w:after="60" w:line="240" w:lineRule="auto"/>
        <w:ind w:left="397" w:right="0" w:hanging="397"/>
        <w:jc w:val="left"/>
      </w:pPr>
      <w:r>
        <w:rPr>
          <w:rFonts w:ascii="Times New Roman" w:hAnsi="Times New Roman" w:eastAsia="Times New Roman" w:cs="Times New Roman"/>
          <w:b w:val="0"/>
          <w:color w:val="000000"/>
          <w:sz w:val="22"/>
          <w:u w:val="none"/>
        </w:rPr>
        <w:t>1. Extract the submission package and open the practical folder in a terminal.</w:t>
      </w:r>
    </w:p>
    <w:p>
      <w:pPr>
        <w:keepNext w:val="0"/>
        <w:keepLines w:val="0"/>
        <w:pageBreakBefore w:val="0"/>
        <w:widowControl/>
        <w:spacing w:before="0" w:after="60" w:line="240" w:lineRule="auto"/>
        <w:ind w:left="397" w:right="0" w:hanging="397"/>
        <w:jc w:val="left"/>
      </w:pPr>
      <w:r>
        <w:rPr>
          <w:rFonts w:ascii="Times New Roman" w:hAnsi="Times New Roman" w:eastAsia="Times New Roman" w:cs="Times New Roman"/>
          <w:b w:val="0"/>
          <w:color w:val="000000"/>
          <w:sz w:val="22"/>
          <w:u w:val="none"/>
        </w:rPr>
        <w:t>2. With Python 3.12 or later, run: python run_all.py. Normal execution is offline and does not execute the input text.</w:t>
      </w:r>
    </w:p>
    <w:p>
      <w:pPr>
        <w:keepNext w:val="0"/>
        <w:keepLines w:val="0"/>
        <w:pageBreakBefore w:val="0"/>
        <w:widowControl/>
        <w:spacing w:before="0" w:after="60" w:line="240" w:lineRule="auto"/>
        <w:ind w:left="397" w:right="0" w:hanging="397"/>
        <w:jc w:val="left"/>
      </w:pPr>
      <w:r>
        <w:rPr>
          <w:rFonts w:ascii="Times New Roman" w:hAnsi="Times New Roman" w:eastAsia="Times New Roman" w:cs="Times New Roman"/>
          <w:b w:val="0"/>
          <w:color w:val="000000"/>
          <w:sz w:val="22"/>
          <w:u w:val="none"/>
        </w:rPr>
        <w:t>3. Inspect outputs/pipeline_stdout.txt and outputs/test_stdout.txt, then compare outputs/summary.json with outputs/classification.csv.</w:t>
      </w:r>
    </w:p>
    <w:p>
      <w:pPr>
        <w:keepNext w:val="0"/>
        <w:keepLines w:val="0"/>
        <w:pageBreakBefore w:val="0"/>
        <w:widowControl/>
        <w:spacing w:before="0" w:after="60" w:line="240" w:lineRule="auto"/>
        <w:ind w:left="397" w:right="0" w:hanging="397"/>
        <w:jc w:val="left"/>
      </w:pPr>
      <w:r>
        <w:rPr>
          <w:rFonts w:ascii="Times New Roman" w:hAnsi="Times New Roman" w:eastAsia="Times New Roman" w:cs="Times New Roman"/>
          <w:b w:val="0"/>
          <w:color w:val="000000"/>
          <w:sz w:val="22"/>
          <w:u w:val="none"/>
        </w:rPr>
        <w:t>4. Inspect annotations.json and the unchanged raw files for the evidence behind each reference label. Re-fetching is optional through fetch_sources.py and must pass the stored hash checks.</w:t>
      </w:r>
    </w:p>
    <w:p>
      <w:pPr>
        <w:keepNext w:val="0"/>
        <w:keepLines w:val="0"/>
        <w:pageBreakBefore w:val="0"/>
        <w:widowControl/>
        <w:spacing w:before="0" w:after="60" w:line="240" w:lineRule="auto"/>
        <w:ind w:left="397" w:right="0" w:hanging="397"/>
        <w:jc w:val="left"/>
      </w:pPr>
      <w:r>
        <w:rPr>
          <w:rFonts w:ascii="Times New Roman" w:hAnsi="Times New Roman" w:eastAsia="Times New Roman" w:cs="Times New Roman"/>
          <w:color w:val="000000"/>
          <w:sz w:val="22"/>
          <w:u w:val="none"/>
        </w:rPr>
        <w:t>5. Open the adjacent ml_prototype folder. Run python run_all.py, then python -m unittest -v test_ml_prototype.py. Inspect summary.json, model.json, training_telemetry.csv and policy_trials.csv in its outputs folder. Stored run.log and test.log retain the submitted run; timing values vary on reruns.</w:t>
      </w:r>
    </w:p>
    <w:p>
      <w:pPr>
        <w:keepNext w:val="0"/>
        <w:keepLines w:val="0"/>
        <w:pageBreakBefore w:val="0"/>
        <w:widowControl/>
        <w:spacing w:before="0" w:after="60" w:line="240" w:lineRule="auto"/>
        <w:ind w:left="397" w:right="0" w:hanging="397"/>
        <w:jc w:val="left"/>
      </w:pPr>
      <w:r>
        <w:rPr>
          <w:rFonts w:ascii="Times New Roman" w:hAnsi="Times New Roman" w:eastAsia="Times New Roman" w:cs="Times New Roman"/>
          <w:color w:val="000000"/>
          <w:sz w:val="22"/>
          <w:u w:val="none"/>
        </w:rPr>
        <w:t>6. Return to the package root and read fixture_candidates/SCREENING_NOTES.txt and its register. Source screening does not establish successful affected/fixed builds or replays. Keep practical, ml_prototype and fixture_candidates together when extracting the archive.</w:t>
      </w:r>
    </w:p>
    <w:p>
      <w:pPr>
        <w:keepNext w:val="0"/>
        <w:keepLines w:val="0"/>
        <w:pageBreakBefore w:val="0"/>
        <w:widowControl/>
        <w:spacing w:before="0" w:after="60" w:line="240" w:lineRule="auto"/>
        <w:ind w:left="0" w:right="0" w:firstLine="709"/>
        <w:jc w:val="both"/>
      </w:pPr>
      <w:r>
        <w:rPr>
          <w:rFonts w:ascii="Times New Roman" w:hAnsi="Times New Roman" w:eastAsia="Times New Roman" w:cs="Times New Roman"/>
          <w:b w:val="0"/>
          <w:color w:val="000000"/>
          <w:sz w:val="22"/>
          <w:u w:val="none"/>
        </w:rPr>
        <w:t>These public Linux parser fixtures are not team-generated ACK trials or a random defect sample. Hashes establish byte provenance, not root cause or label validity. Software test cases are excluded from empirical reproduction rates.</w:t>
      </w:r>
    </w:p>
    <w:p>
      <w:pPr>
        <w:pStyle w:val="Heading1"/>
        <w:keepNext/>
        <w:keepLines/>
        <w:pageBreakBefore/>
        <w:widowControl/>
        <w:spacing w:before="240" w:after="120" w:line="276" w:lineRule="auto"/>
        <w:ind w:left="0" w:right="0" w:firstLine="0"/>
        <w:jc w:val="left"/>
      </w:pPr>
      <w:r>
        <w:rPr>
          <w:rFonts w:ascii="Times New Roman" w:hAnsi="Times New Roman" w:eastAsia="Times New Roman" w:cs="Times New Roman"/>
          <w:b/>
          <w:i w:val="0"/>
          <w:color w:val="000000"/>
          <w:sz w:val="28"/>
          <w:u w:val="none"/>
        </w:rPr>
        <w:t>Appendix C Executed output and error audit</w:t>
      </w:r>
    </w:p>
    <w:p>
      <w:pPr>
        <w:keepNext w:val="0"/>
        <w:keepLines w:val="0"/>
        <w:pageBreakBefore w:val="0"/>
        <w:widowControl/>
        <w:spacing w:before="0" w:after="60" w:line="240" w:lineRule="auto"/>
        <w:ind w:left="0" w:right="0" w:firstLine="709"/>
        <w:jc w:val="both"/>
      </w:pPr>
      <w:r>
        <w:rPr>
          <w:rFonts w:ascii="Times New Roman" w:hAnsi="Times New Roman" w:eastAsia="Times New Roman" w:cs="Times New Roman"/>
          <w:b w:val="0"/>
          <w:color w:val="000000"/>
          <w:sz w:val="22"/>
          <w:u w:val="none"/>
        </w:rPr>
        <w:t>The current diagnostic run processed all 12 unique source files and passed every stored byte-integrity check. Keyword matching agreed with 7 reference labels and structured parsing with all 12. Report 625 is now correctly classified as ext4. These are reproducible development-sample agreement figures, not independent accuracy or kernel experiment results.</w:t>
      </w:r>
    </w:p>
    <w:p>
      <w:pPr>
        <w:keepNext w:val="0"/>
        <w:keepLines w:val="0"/>
        <w:pageBreakBefore w:val="0"/>
        <w:widowControl/>
        <w:spacing w:before="0" w:after="60" w:line="240" w:lineRule="auto"/>
        <w:ind w:left="0" w:right="0" w:firstLine="709"/>
        <w:jc w:val="both"/>
      </w:pPr>
      <w:r>
        <w:rPr>
          <w:rFonts w:ascii="Times New Roman" w:hAnsi="Times New Roman" w:eastAsia="Times New Roman" w:cs="Times New Roman"/>
          <w:b w:val="0"/>
          <w:color w:val="000000"/>
          <w:sz w:val="22"/>
          <w:u w:val="none"/>
        </w:rPr>
        <w:t>The completeness gate received no replay ledger for any public file and rejected all 12. It requires three affected and three fixed records with distinct reset/trial IDs, consistent candidate/build identity and the expected diagnostic conditions. Even a structurally complete ledger returns defect_verified = false: the prototype cannot authenticate execution, clean resets or causal attribution.</w:t>
      </w:r>
    </w:p>
    <w:p>
      <w:pPr>
        <w:keepNext w:val="0"/>
        <w:keepLines w:val="0"/>
        <w:pageBreakBefore w:val="0"/>
        <w:widowControl/>
        <w:spacing w:before="0" w:after="60" w:line="240" w:lineRule="auto"/>
        <w:ind w:left="0" w:right="0" w:firstLine="709"/>
        <w:jc w:val="both"/>
      </w:pPr>
      <w:r>
        <w:rPr>
          <w:rFonts w:ascii="Times New Roman" w:hAnsi="Times New Roman" w:eastAsia="Times New Roman" w:cs="Times New Roman"/>
          <w:b w:val="0"/>
          <w:color w:val="000000"/>
          <w:sz w:val="22"/>
          <w:u w:val="none"/>
        </w:rPr>
        <w:t>The current diagnostic test log reports 43 passing software/provenance tests. Hand-authored cases cover missing controls, duplicate resets, mixed candidates, incorrect signatures, blank or malformed identifiers and diagnostic-context handling. These check software contracts and are excluded from research data. The ML component separately passes 14 checks for provenance, preprocessing, labels, source ancestry, model integrity and equal execution budgets.</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bottom w:w="65" w:type="dxa"/>
          <w:left w:w="85" w:type="dxa"/>
          <w:right w:w="85" w:type="dxa"/>
        </w:tblCellMar>
        <w:tblLook w:val="0000"/>
      </w:tblPr>
      <w:tblGrid>
        <w:gridCol w:w="907"/>
        <w:gridCol w:w="1134"/>
        <w:gridCol w:w="1191"/>
        <w:gridCol w:w="1304"/>
        <w:gridCol w:w="4535"/>
      </w:tblGrid>
      <w:tr>
        <w:trPr>
          <w:cantSplit/>
          <w:tblHeader/>
        </w:trPr>
        <w:tc>
          <w:tcPr>
            <w:tcW w:type="dxa" w:w="907"/>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center"/>
            </w:pPr>
            <w:r>
              <w:rPr>
                <w:rFonts w:ascii="Times New Roman" w:hAnsi="Times New Roman" w:eastAsia="Times New Roman" w:cs="Times New Roman"/>
                <w:b/>
                <w:i w:val="0"/>
                <w:color w:val="000000"/>
                <w:sz w:val="21"/>
                <w:u w:val="none"/>
              </w:rPr>
              <w:t>Report ID</w:t>
            </w:r>
          </w:p>
        </w:tc>
        <w:tc>
          <w:tcPr>
            <w:tcW w:type="dxa" w:w="1134"/>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center"/>
            </w:pPr>
            <w:r>
              <w:rPr>
                <w:rFonts w:ascii="Times New Roman" w:hAnsi="Times New Roman" w:eastAsia="Times New Roman" w:cs="Times New Roman"/>
                <w:b/>
                <w:i w:val="0"/>
                <w:color w:val="000000"/>
                <w:sz w:val="21"/>
                <w:u w:val="none"/>
              </w:rPr>
              <w:t>Reference</w:t>
            </w:r>
          </w:p>
        </w:tc>
        <w:tc>
          <w:tcPr>
            <w:tcW w:type="dxa" w:w="1191"/>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center"/>
            </w:pPr>
            <w:r>
              <w:rPr>
                <w:rFonts w:ascii="Times New Roman" w:hAnsi="Times New Roman" w:eastAsia="Times New Roman" w:cs="Times New Roman"/>
                <w:b/>
                <w:i w:val="0"/>
                <w:color w:val="000000"/>
                <w:sz w:val="21"/>
                <w:u w:val="none"/>
              </w:rPr>
              <w:t>Keyword</w:t>
            </w:r>
          </w:p>
        </w:tc>
        <w:tc>
          <w:tcPr>
            <w:tcW w:type="dxa" w:w="1304"/>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center"/>
            </w:pPr>
            <w:r>
              <w:rPr>
                <w:rFonts w:ascii="Times New Roman" w:hAnsi="Times New Roman" w:eastAsia="Times New Roman" w:cs="Times New Roman"/>
                <w:b/>
                <w:i w:val="0"/>
                <w:color w:val="000000"/>
                <w:sz w:val="21"/>
                <w:u w:val="none"/>
              </w:rPr>
              <w:t>Structured</w:t>
            </w:r>
          </w:p>
        </w:tc>
        <w:tc>
          <w:tcPr>
            <w:tcW w:type="dxa" w:w="4535"/>
            <w:tcBorders>
              <w:top w:val="single" w:sz="4" w:color="000000"/>
              <w:left w:val="single" w:sz="4" w:color="000000"/>
              <w:bottom w:val="single" w:sz="4" w:color="000000"/>
              <w:right w:val="single" w:sz="4" w:color="000000"/>
            </w:tcBorders>
            <w:vAlign w:val="center"/>
          </w:tcPr>
          <w:p>
            <w:pPr>
              <w:keepNext/>
              <w:keepLines w:val="0"/>
              <w:widowControl/>
              <w:spacing w:after="0" w:line="240" w:lineRule="auto" w:before="0"/>
              <w:ind w:firstLine="0" w:left="0" w:right="0"/>
              <w:jc w:val="left"/>
            </w:pPr>
            <w:r>
              <w:rPr>
                <w:rFonts w:ascii="Times New Roman" w:hAnsi="Times New Roman" w:eastAsia="Times New Roman" w:cs="Times New Roman"/>
                <w:b/>
                <w:i w:val="0"/>
                <w:color w:val="000000"/>
                <w:sz w:val="21"/>
                <w:u w:val="none"/>
              </w:rPr>
              <w:t>Observed issue or evidence</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0</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none</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none</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none</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Incomplete paging report without target context</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53</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Memory-leak stack includes ext4_mb_init</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277</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Target context occurs in the RCU-stall stack</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386</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none</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none</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ext4 appears only in an unrelated held-lock list</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420</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none</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none</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Background mount/checking text</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456</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F2FS</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F2FS</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F2FS</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UBSAN source path and primary F2FS stack</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625</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Corrected in v0.2.0: ext4 diagnostic prose with generic VFS stack</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627</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Generic crc16 fault helper with ext4 caller context</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704</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none</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F2FS</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none</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F2FS occurs only in secondary page-history stack</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728</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none</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none</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Ordinary mount warning or status text</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741</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F2FS</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ambiguous</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F2FS</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Unrelated ext4 text follows the primary end-trace marker</w:t>
            </w:r>
          </w:p>
        </w:tc>
      </w:tr>
      <w:tr>
        <w:trPr>
          <w:cantSplit/>
        </w:trPr>
        <w:tc>
          <w:tcPr>
            <w:tcW w:type="dxa" w:w="907"/>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755</w:t>
            </w:r>
          </w:p>
        </w:tc>
        <w:tc>
          <w:tcPr>
            <w:tcW w:type="dxa" w:w="113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191"/>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1304"/>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center"/>
            </w:pPr>
            <w:r>
              <w:rPr>
                <w:rFonts w:ascii="Times New Roman" w:hAnsi="Times New Roman" w:eastAsia="Times New Roman" w:cs="Times New Roman"/>
                <w:b w:val="0"/>
                <w:i w:val="0"/>
                <w:color w:val="000000"/>
                <w:sz w:val="21"/>
                <w:u w:val="none"/>
              </w:rPr>
              <w:t>ext4</w:t>
            </w:r>
          </w:p>
        </w:tc>
        <w:tc>
          <w:tcPr>
            <w:tcW w:type="dxa" w:w="4535"/>
            <w:tcBorders>
              <w:top w:val="single" w:sz="4" w:color="000000"/>
              <w:left w:val="single" w:sz="4" w:color="000000"/>
              <w:bottom w:val="single" w:sz="4" w:color="000000"/>
              <w:right w:val="single" w:sz="4" w:color="000000"/>
            </w:tcBorders>
            <w:vAlign w:val="center"/>
          </w:tcPr>
          <w:p>
            <w:pPr>
              <w:keepNext w:val="0"/>
              <w:keepLines w:val="0"/>
              <w:widowControl/>
              <w:spacing w:after="0" w:line="240" w:lineRule="auto" w:before="0"/>
              <w:ind w:firstLine="0" w:left="0" w:right="0"/>
              <w:jc w:val="left"/>
            </w:pPr>
            <w:r>
              <w:rPr>
                <w:rFonts w:ascii="Times New Roman" w:hAnsi="Times New Roman" w:eastAsia="Times New Roman" w:cs="Times New Roman"/>
                <w:b w:val="0"/>
                <w:i w:val="0"/>
                <w:color w:val="000000"/>
                <w:sz w:val="21"/>
                <w:u w:val="none"/>
              </w:rPr>
              <w:t>Warning location and ext4 stack agree</w:t>
            </w:r>
          </w:p>
        </w:tc>
      </w:tr>
    </w:tbl>
    <w:p>
      <w:pPr>
        <w:keepNext w:val="0"/>
        <w:keepLines w:val="0"/>
        <w:pageBreakBefore w:val="0"/>
        <w:widowControl/>
        <w:spacing w:after="60" w:before="0" w:line="240" w:lineRule="auto"/>
        <w:ind w:left="0" w:right="0" w:firstLine="0"/>
        <w:jc w:val="both"/>
      </w:pPr>
    </w:p>
    <w:p>
      <w:pPr>
        <w:pStyle w:val="Heading2"/>
        <w:keepNext/>
        <w:keepLines/>
        <w:pageBreakBefore w:val="0"/>
        <w:widowControl/>
        <w:spacing w:before="240" w:after="120" w:line="276" w:lineRule="auto"/>
        <w:ind w:left="0" w:right="0" w:firstLine="0"/>
        <w:jc w:val="left"/>
      </w:pPr>
      <w:r>
        <w:rPr>
          <w:rFonts w:ascii="Times New Roman" w:hAnsi="Times New Roman" w:eastAsia="Times New Roman" w:cs="Times New Roman"/>
          <w:b/>
          <w:i w:val="0"/>
          <w:color w:val="000000"/>
          <w:sz w:val="24"/>
          <w:u w:val="none"/>
        </w:rPr>
        <w:t>Next module development milestones</w:t>
      </w:r>
    </w:p>
    <w:p>
      <w:pPr>
        <w:keepNext w:val="0"/>
        <w:keepLines w:val="0"/>
        <w:pageBreakBefore w:val="0"/>
        <w:widowControl/>
        <w:spacing w:before="0" w:after="60" w:line="240" w:lineRule="auto"/>
        <w:ind w:left="0" w:right="0" w:firstLine="709"/>
        <w:jc w:val="both"/>
      </w:pPr>
      <w:r>
        <w:rPr>
          <w:rFonts w:ascii="Times New Roman" w:hAnsi="Times New Roman" w:eastAsia="Times New Roman" w:cs="Times New Roman"/>
          <w:b w:val="0"/>
          <w:color w:val="000000"/>
          <w:sz w:val="22"/>
          <w:u w:val="none"/>
        </w:rPr>
        <w:t>The next module milestone is an integrated ACK selection-and-reproduction loop: qualify affected/fixed fixtures, collect fresh telemetry, train and freeze the ACK ranker, connect the native engine and complete the pilot. Only then can H1 and H2 be evaluated. A later exploit-construction component must consume verified records and produce separately validated artifacts; a parser pass or reproduced fault cannot stand in for that output.</w:t>
      </w:r>
    </w:p>
    <w:sectPr w:rsidR="00FC693F" w:rsidRPr="0006063C" w:rsidSect="00034616">
      <w:footerReference w:type="default" r:id="rId9"/>
      <w:headerReference w:type="default" r:id="rId10"/>
      <w:headerReference w:type="first" r:id="rId11"/>
      <w:footerReference w:type="first" r:id="rId12"/>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rFonts w:ascii="Times New Roman" w:hAnsi="Times New Roman" w:eastAsia="Times New Roman" w:cs="Times New Roman"/>
        <w:color w:val="000000"/>
        <w:sz w:val="22"/>
        <w:u w:val="none"/>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widowControl/>
      <w:tabs>
        <w:tab w:val="center" w:pos="4680"/>
        <w:tab w:val="right" w:pos="9360"/>
      </w:tabs>
      <w:spacing w:after="0" w:line="360" w:lineRule="auto" w:before="0"/>
    </w:pPr>
    <w:rPr>
      <w:rFonts w:ascii="Times New Roman" w:hAnsi="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color w:val="000000"/>
      <w:sz w:val="24"/>
    </w:rPr>
  </w:style>
  <w:style w:type="paragraph" w:styleId="Footer">
    <w:name w:val="footer"/>
    <w:basedOn w:val="Normal"/>
    <w:link w:val="FooterChar"/>
    <w:uiPriority w:val="99"/>
    <w:unhideWhenUsed/>
    <w:rsid w:val="00E618BF"/>
    <w:pPr>
      <w:widowControl/>
      <w:tabs>
        <w:tab w:val="center" w:pos="4680"/>
        <w:tab w:val="right" w:pos="9360"/>
      </w:tabs>
      <w:spacing w:after="0" w:line="360" w:lineRule="auto" w:before="0"/>
    </w:pPr>
    <w:rPr>
      <w:rFonts w:ascii="Times New Roman" w:hAnsi="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widowControl/>
      <w:spacing w:before="240" w:after="120" w:line="276"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76"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76" w:lineRule="auto"/>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widowControl/>
      <w:spacing w:before="0" w:after="0" w:line="360" w:lineRule="auto"/>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widowControl/>
      <w:spacing w:before="0" w:after="0" w:line="360" w:lineRule="auto"/>
      <w:outlineLvl w:val="4"/>
    </w:pPr>
    <w:rPr>
      <w:rFonts w:asciiTheme="majorHAnsi" w:eastAsiaTheme="majorEastAsia" w:hAnsiTheme="majorHAnsi" w:cstheme="majorBidi" w:ascii="Times New Roman" w:hAnsi="Times New Roman"/>
      <w:color w:val="000000"/>
      <w:sz w:val="24"/>
    </w:rPr>
  </w:style>
  <w:style w:type="paragraph" w:styleId="Heading6">
    <w:name w:val="heading 6"/>
    <w:basedOn w:val="Normal"/>
    <w:next w:val="Normal"/>
    <w:link w:val="Heading6Char"/>
    <w:uiPriority w:val="9"/>
    <w:semiHidden/>
    <w:unhideWhenUsed/>
    <w:qFormat/>
    <w:rsid w:val="00FC693F"/>
    <w:pPr>
      <w:keepNext/>
      <w:keepLines/>
      <w:widowControl/>
      <w:spacing w:before="0" w:after="0" w:line="360" w:lineRule="auto"/>
      <w:outlineLvl w:val="5"/>
    </w:pPr>
    <w:rPr>
      <w:rFonts w:asciiTheme="majorHAnsi" w:eastAsiaTheme="majorEastAsia" w:hAnsiTheme="majorHAnsi" w:cstheme="majorBidi" w:ascii="Times New Roman" w:hAnsi="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widowControl/>
      <w:spacing w:before="0" w:after="0" w:line="360" w:lineRule="auto"/>
      <w:outlineLvl w:val="6"/>
    </w:pPr>
    <w:rPr>
      <w:rFonts w:asciiTheme="majorHAnsi" w:eastAsiaTheme="majorEastAsia" w:hAnsiTheme="majorHAnsi" w:cstheme="majorBidi" w:ascii="Times New Roman" w:hAnsi="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widowControl/>
      <w:spacing w:before="0" w:after="0" w:line="360" w:lineRule="auto"/>
      <w:outlineLvl w:val="7"/>
    </w:pPr>
    <w:rPr>
      <w:rFonts w:asciiTheme="majorHAnsi" w:eastAsiaTheme="majorEastAsia" w:hAnsiTheme="majorHAnsi" w:cstheme="majorBidi" w:ascii="Times New Roman" w:hAnsi="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0" w:line="360" w:lineRule="auto"/>
      <w:outlineLvl w:val="8"/>
    </w:pPr>
    <w:rPr>
      <w:rFonts w:asciiTheme="majorHAnsi" w:eastAsiaTheme="majorEastAsia" w:hAnsiTheme="majorHAnsi" w:cstheme="majorBidi" w:ascii="Times New Roman" w:hAnsi="Times New Roman"/>
      <w:i/>
      <w:iCs/>
      <w:color w:val="000000"/>
      <w:sz w:val="24"/>
      <w:szCs w:val="20"/>
    </w:rPr>
  </w:style>
  <w:style w:type="character" w:default="1" w:styleId="DefaultParagraphFont">
    <w:name w:val="Default Paragraph Font"/>
    <w:uiPriority w:val="1"/>
    <w:semiHidden/>
    <w:unhideWhenUsed/>
    <w:rPr>
      <w:rFonts w:ascii="Times New Roman" w:hAnsi="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360" w:lineRule="auto" w:before="0"/>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Pr>
  </w:style>
  <w:style w:type="paragraph" w:styleId="Title">
    <w:name w:val="Title"/>
    <w:basedOn w:val="Normal"/>
    <w:next w:val="Normal"/>
    <w:link w:val="TitleChar"/>
    <w:uiPriority w:val="10"/>
    <w:qFormat/>
    <w:rsid w:val="00FC693F"/>
    <w:pPr>
      <w:keepNext/>
      <w:widowControl/>
      <w:spacing w:after="120" w:line="276" w:lineRule="auto" w:before="240"/>
      <w:ind w:firstLin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Pr>
  </w:style>
  <w:style w:type="paragraph" w:styleId="Subtitle">
    <w:name w:val="Subtitle"/>
    <w:basedOn w:val="Normal"/>
    <w:next w:val="Normal"/>
    <w:link w:val="SubtitleChar"/>
    <w:uiPriority w:val="11"/>
    <w:qFormat/>
    <w:rsid w:val="00FC693F"/>
    <w:pPr>
      <w:widowControl/>
      <w:numPr>
        <w:ilvl w:val="1"/>
      </w:numPr>
      <w:spacing w:after="0" w:before="0" w:line="360"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widowControl/>
      <w:spacing w:after="0" w:before="0" w:line="360" w:lineRule="auto"/>
      <w:ind w:left="720"/>
      <w:contextualSpacing/>
    </w:pPr>
    <w:rPr>
      <w:rFonts w:ascii="Times New Roman" w:hAnsi="Times New Roman"/>
      <w:color w:val="000000"/>
      <w:sz w:val="24"/>
    </w:rPr>
  </w:style>
  <w:style w:type="paragraph" w:styleId="BodyText">
    <w:name w:val="Body Text"/>
    <w:basedOn w:val="Normal"/>
    <w:link w:val="BodyTextChar"/>
    <w:uiPriority w:val="99"/>
    <w:unhideWhenUsed/>
    <w:rsid w:val="00AA1D8D"/>
    <w:pPr>
      <w:widowControl/>
      <w:spacing w:after="0" w:before="0" w:line="360"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olor w:val="000000"/>
      <w:sz w:val="24"/>
    </w:rPr>
  </w:style>
  <w:style w:type="paragraph" w:styleId="BodyText2">
    <w:name w:val="Body Text 2"/>
    <w:basedOn w:val="Normal"/>
    <w:link w:val="BodyText2Char"/>
    <w:uiPriority w:val="99"/>
    <w:unhideWhenUsed/>
    <w:rsid w:val="00AA1D8D"/>
    <w:pPr>
      <w:widowControl/>
      <w:spacing w:after="0" w:line="360" w:lineRule="auto" w:before="0"/>
    </w:pPr>
    <w:rPr>
      <w:rFonts w:ascii="Times New Roman" w:hAnsi="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color w:val="000000"/>
      <w:sz w:val="24"/>
    </w:rPr>
  </w:style>
  <w:style w:type="paragraph" w:styleId="BodyText3">
    <w:name w:val="Body Text 3"/>
    <w:basedOn w:val="Normal"/>
    <w:link w:val="BodyText3Char"/>
    <w:uiPriority w:val="99"/>
    <w:unhideWhenUsed/>
    <w:rsid w:val="00AA1D8D"/>
    <w:pPr>
      <w:widowControl/>
      <w:spacing w:after="0" w:before="0" w:line="360" w:lineRule="auto"/>
    </w:pPr>
    <w:rPr>
      <w:rFonts w:ascii="Times New Roman" w:hAnsi="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Pr>
  </w:style>
  <w:style w:type="paragraph" w:styleId="List">
    <w:name w:val="List"/>
    <w:basedOn w:val="Normal"/>
    <w:uiPriority w:val="99"/>
    <w:unhideWhenUsed/>
    <w:rsid w:val="00AA1D8D"/>
    <w:pPr>
      <w:widowControl/>
      <w:spacing w:after="0" w:before="0" w:line="360" w:lineRule="auto"/>
      <w:ind w:left="360" w:hanging="360"/>
      <w:contextualSpacing/>
    </w:pPr>
    <w:rPr>
      <w:rFonts w:ascii="Times New Roman" w:hAnsi="Times New Roman"/>
      <w:color w:val="000000"/>
      <w:sz w:val="24"/>
    </w:rPr>
  </w:style>
  <w:style w:type="paragraph" w:styleId="List2">
    <w:name w:val="List 2"/>
    <w:basedOn w:val="Normal"/>
    <w:uiPriority w:val="99"/>
    <w:unhideWhenUsed/>
    <w:rsid w:val="00326F90"/>
    <w:pPr>
      <w:widowControl/>
      <w:spacing w:after="0" w:before="0" w:line="360" w:lineRule="auto"/>
      <w:ind w:left="720" w:hanging="360"/>
      <w:contextualSpacing/>
    </w:pPr>
    <w:rPr>
      <w:rFonts w:ascii="Times New Roman" w:hAnsi="Times New Roman"/>
      <w:color w:val="000000"/>
      <w:sz w:val="24"/>
    </w:rPr>
  </w:style>
  <w:style w:type="paragraph" w:styleId="List3">
    <w:name w:val="List 3"/>
    <w:basedOn w:val="Normal"/>
    <w:uiPriority w:val="99"/>
    <w:unhideWhenUsed/>
    <w:rsid w:val="00326F90"/>
    <w:pPr>
      <w:widowControl/>
      <w:spacing w:after="0" w:before="0" w:line="360" w:lineRule="auto"/>
      <w:ind w:left="1080" w:hanging="360"/>
      <w:contextualSpacing/>
    </w:pPr>
    <w:rPr>
      <w:rFonts w:ascii="Times New Roman" w:hAnsi="Times New Roman"/>
      <w:color w:val="000000"/>
      <w:sz w:val="24"/>
    </w:rPr>
  </w:style>
  <w:style w:type="paragraph" w:styleId="ListBullet">
    <w:name w:val="List Bullet"/>
    <w:basedOn w:val="Normal"/>
    <w:uiPriority w:val="99"/>
    <w:unhideWhenUsed/>
    <w:rsid w:val="00326F90"/>
    <w:pPr>
      <w:widowControl/>
      <w:numPr>
        <w:numId w:val="1"/>
      </w:numPr>
      <w:spacing w:after="0" w:before="0" w:line="360"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widowControl/>
      <w:numPr>
        <w:numId w:val="2"/>
      </w:numPr>
      <w:spacing w:after="0" w:before="0" w:line="360" w:lineRule="auto"/>
      <w:contextualSpacing/>
    </w:pPr>
    <w:rPr>
      <w:rFonts w:ascii="Times New Roman" w:hAnsi="Times New Roman"/>
      <w:color w:val="000000"/>
      <w:sz w:val="24"/>
    </w:rPr>
  </w:style>
  <w:style w:type="paragraph" w:styleId="ListBullet3">
    <w:name w:val="List Bullet 3"/>
    <w:basedOn w:val="Normal"/>
    <w:uiPriority w:val="99"/>
    <w:unhideWhenUsed/>
    <w:rsid w:val="00326F90"/>
    <w:pPr>
      <w:widowControl/>
      <w:numPr>
        <w:numId w:val="3"/>
      </w:numPr>
      <w:spacing w:after="0" w:before="0" w:line="360" w:lineRule="auto"/>
      <w:contextualSpacing/>
    </w:pPr>
    <w:rPr>
      <w:rFonts w:ascii="Times New Roman" w:hAnsi="Times New Roman"/>
      <w:color w:val="000000"/>
      <w:sz w:val="24"/>
    </w:rPr>
  </w:style>
  <w:style w:type="paragraph" w:styleId="ListNumber">
    <w:name w:val="List Number"/>
    <w:basedOn w:val="Normal"/>
    <w:uiPriority w:val="99"/>
    <w:unhideWhenUsed/>
    <w:rsid w:val="00326F90"/>
    <w:pPr>
      <w:widowControl/>
      <w:numPr>
        <w:numId w:val="5"/>
      </w:numPr>
      <w:spacing w:after="0" w:before="0" w:line="360" w:lineRule="auto"/>
      <w:contextualSpacing/>
    </w:pPr>
    <w:rPr>
      <w:rFonts w:ascii="Times New Roman" w:hAnsi="Times New Roman"/>
      <w:color w:val="000000"/>
      <w:sz w:val="24"/>
    </w:rPr>
  </w:style>
  <w:style w:type="paragraph" w:styleId="ListNumber2">
    <w:name w:val="List Number 2"/>
    <w:basedOn w:val="Normal"/>
    <w:uiPriority w:val="99"/>
    <w:unhideWhenUsed/>
    <w:rsid w:val="0029639D"/>
    <w:pPr>
      <w:widowControl/>
      <w:numPr>
        <w:numId w:val="6"/>
      </w:numPr>
      <w:spacing w:after="0" w:before="0" w:line="360" w:lineRule="auto"/>
      <w:contextualSpacing/>
    </w:pPr>
    <w:rPr>
      <w:rFonts w:ascii="Times New Roman" w:hAnsi="Times New Roman"/>
      <w:color w:val="000000"/>
      <w:sz w:val="24"/>
    </w:rPr>
  </w:style>
  <w:style w:type="paragraph" w:styleId="ListNumber3">
    <w:name w:val="List Number 3"/>
    <w:basedOn w:val="Normal"/>
    <w:uiPriority w:val="99"/>
    <w:unhideWhenUsed/>
    <w:rsid w:val="0029639D"/>
    <w:pPr>
      <w:widowControl/>
      <w:numPr>
        <w:numId w:val="7"/>
      </w:numPr>
      <w:spacing w:after="0" w:before="0" w:line="360" w:lineRule="auto"/>
      <w:contextualSpacing/>
    </w:pPr>
    <w:rPr>
      <w:rFonts w:ascii="Times New Roman" w:hAnsi="Times New Roman"/>
      <w:color w:val="000000"/>
      <w:sz w:val="24"/>
    </w:rPr>
  </w:style>
  <w:style w:type="paragraph" w:styleId="ListContinue">
    <w:name w:val="List Continue"/>
    <w:basedOn w:val="Normal"/>
    <w:uiPriority w:val="99"/>
    <w:unhideWhenUsed/>
    <w:rsid w:val="0029639D"/>
    <w:pPr>
      <w:widowControl/>
      <w:spacing w:after="0" w:before="0" w:line="360" w:lineRule="auto"/>
      <w:ind w:left="360"/>
      <w:contextualSpacing/>
    </w:pPr>
    <w:rPr>
      <w:rFonts w:ascii="Times New Roman" w:hAnsi="Times New Roman"/>
      <w:color w:val="000000"/>
      <w:sz w:val="24"/>
    </w:rPr>
  </w:style>
  <w:style w:type="paragraph" w:styleId="ListContinue2">
    <w:name w:val="List Continue 2"/>
    <w:basedOn w:val="Normal"/>
    <w:uiPriority w:val="99"/>
    <w:unhideWhenUsed/>
    <w:rsid w:val="0029639D"/>
    <w:pPr>
      <w:widowControl/>
      <w:spacing w:after="0" w:before="0" w:line="360" w:lineRule="auto"/>
      <w:ind w:left="720"/>
      <w:contextualSpacing/>
    </w:pPr>
    <w:rPr>
      <w:rFonts w:ascii="Times New Roman" w:hAnsi="Times New Roman"/>
      <w:color w:val="000000"/>
      <w:sz w:val="24"/>
    </w:rPr>
  </w:style>
  <w:style w:type="paragraph" w:styleId="ListContinue3">
    <w:name w:val="List Continue 3"/>
    <w:basedOn w:val="Normal"/>
    <w:uiPriority w:val="99"/>
    <w:unhideWhenUsed/>
    <w:rsid w:val="0029639D"/>
    <w:pPr>
      <w:widowControl/>
      <w:spacing w:after="0" w:before="0" w:line="360" w:lineRule="auto"/>
      <w:ind w:left="1080"/>
      <w:contextualSpacing/>
    </w:pPr>
    <w:rPr>
      <w:rFonts w:ascii="Times New Roman" w:hAnsi="Times New Roman"/>
      <w:color w:val="000000"/>
      <w:sz w:val="24"/>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after="0" w:before="0" w:line="360" w:lineRule="auto"/>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Pr>
  </w:style>
  <w:style w:type="paragraph" w:styleId="Quote">
    <w:name w:val="Quote"/>
    <w:basedOn w:val="Normal"/>
    <w:next w:val="Normal"/>
    <w:link w:val="QuoteChar"/>
    <w:uiPriority w:val="29"/>
    <w:qFormat/>
    <w:rsid w:val="00FC693F"/>
    <w:pPr>
      <w:widowControl/>
      <w:spacing w:after="0" w:before="0" w:line="360" w:lineRule="auto"/>
    </w:pPr>
    <w:rPr>
      <w:rFonts w:ascii="Times New Roman" w:hAnsi="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Pr>
  </w:style>
  <w:style w:type="paragraph" w:styleId="Caption">
    <w:name w:val="caption"/>
    <w:basedOn w:val="Normal"/>
    <w:next w:val="Normal"/>
    <w:uiPriority w:val="35"/>
    <w:semiHidden/>
    <w:unhideWhenUsed/>
    <w:qFormat/>
    <w:rsid w:val="00FC693F"/>
    <w:pPr>
      <w:widowControl/>
      <w:spacing w:line="360" w:lineRule="auto" w:after="0" w:before="0"/>
    </w:pPr>
    <w:rPr>
      <w:rFonts w:ascii="Times New Roman" w:hAnsi="Times New Roman"/>
      <w:b/>
      <w:bCs/>
      <w:color w:val="000000"/>
      <w:sz w:val="24"/>
      <w:szCs w:val="18"/>
    </w:rPr>
  </w:style>
  <w:style w:type="character" w:styleId="Strong">
    <w:name w:val="Strong"/>
    <w:basedOn w:val="DefaultParagraphFont"/>
    <w:uiPriority w:val="22"/>
    <w:qFormat/>
    <w:rsid w:val="00FC693F"/>
    <w:rPr>
      <w:rFonts w:ascii="Times New Roman" w:hAnsi="Times New Roman"/>
      <w:b/>
      <w:bCs/>
      <w:color w:val="000000"/>
      <w:sz w:val="24"/>
    </w:rPr>
  </w:style>
  <w:style w:type="character" w:styleId="Emphasis">
    <w:name w:val="Emphasis"/>
    <w:basedOn w:val="DefaultParagraphFont"/>
    <w:uiPriority w:val="20"/>
    <w:qFormat/>
    <w:rsid w:val="00FC693F"/>
    <w:rPr>
      <w:rFonts w:ascii="Times New Roman" w:hAnsi="Times New Roman"/>
      <w:i/>
      <w:iCs/>
      <w:color w:val="000000"/>
      <w:sz w:val="24"/>
    </w:rPr>
  </w:style>
  <w:style w:type="paragraph" w:styleId="IntenseQuote">
    <w:name w:val="Intense Quote"/>
    <w:basedOn w:val="Normal"/>
    <w:next w:val="Normal"/>
    <w:link w:val="IntenseQuoteChar"/>
    <w:uiPriority w:val="30"/>
    <w:qFormat/>
    <w:rsid w:val="00FC693F"/>
    <w:pPr>
      <w:widowControl/>
      <w:spacing w:before="0" w:after="0" w:line="360" w:lineRule="auto"/>
      <w:ind w:left="936" w:right="936"/>
    </w:pPr>
    <w:rPr>
      <w:rFonts w:ascii="Times New Roman" w:hAnsi="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i/>
      <w:iCs/>
      <w:color w:val="000000"/>
      <w:sz w:val="24"/>
    </w:rPr>
  </w:style>
  <w:style w:type="character" w:styleId="IntenseEmphasis">
    <w:name w:val="Intense Emphasis"/>
    <w:basedOn w:val="DefaultParagraphFont"/>
    <w:uiPriority w:val="21"/>
    <w:qFormat/>
    <w:rsid w:val="00FC693F"/>
    <w:rPr>
      <w:rFonts w:ascii="Times New Roman" w:hAnsi="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b/>
      <w:bCs/>
      <w:smallCaps/>
      <w:color w:val="000000"/>
      <w:spacing w:val="5"/>
      <w:sz w:val="24"/>
    </w:rPr>
  </w:style>
  <w:style w:type="paragraph" w:styleId="TOCHeading">
    <w:name w:val="TOC Heading"/>
    <w:basedOn w:val="Heading1"/>
    <w:next w:val="Normal"/>
    <w:uiPriority w:val="39"/>
    <w:semiHidden/>
    <w:unhideWhenUsed/>
    <w:qFormat/>
    <w:rsid w:val="00FC693F"/>
    <w:pPr>
      <w:widowControl/>
      <w:spacing w:after="0" w:before="0" w:line="360" w:lineRule="auto"/>
      <w:outlineLvl w:val="9"/>
    </w:pPr>
    <w:rPr>
      <w:rFonts w:ascii="Times New Roman" w:hAnsi="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Machine Learning-Based Exploit Generation Module for Various Android OS File Systems</dc:title>
  <dc:subject>Assignment 3 module architecture methodology and initial implementation for ext4 and F2FS</dc:subject>
  <dc:creator>Nikita Tsybus; Bakytzhan Kassymgali</dc:creator>
  <cp:keywords>Research Methods, ext4, F2FS, Android Common Kernel, methodology</cp:keywords>
  <dc:description/>
  <cp:lastModifiedBy/>
  <cp:revision>1</cp:revision>
  <dcterms:created xsi:type="dcterms:W3CDTF">2013-12-23T23:15:00Z</dcterms:created>
  <dcterms:modified xsi:type="dcterms:W3CDTF">2013-12-23T23:15:00Z</dcterms:modified>
  <cp:category/>
</cp:coreProperties>
</file>