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EMPLOYER'S ASSESSMENT REPORT – EXTENSION OF TIME CLAIM No. 1</w:t>
      </w:r>
    </w:p>
    <w:p>
      <w:r>
        <w:t xml:space="preserve">Project: Village Boutique Hotel (1TB01006) – Contract 1TB01006-006C15 – Shapoorji Pallonji Mideast LLC</w:t>
      </w:r>
    </w:p>
    <w:p>
      <w:r>
        <w:t xml:space="preserve">Reference: 1TB01006-006C15-AMA-EAR-0001   Date: 12 June 2026</w:t>
      </w:r>
    </w:p>
    <w:p>
      <w:r>
        <w:t xml:space="preserve">The Contractor claimed an extension of time of 180 days for delayed access to the hotel clusters. The Employer has assessed the entitlement at 70 days, being the critical delay to the Time for Completion arising from Employer-caused events. Prolongation costs claimed of SAR 10,269,423.38 are assessed at SAR 7,188,596. The revised Time for Completion is 30 September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2026-09-13T07:58:37.494Z</dcterms:created>
  <dcterms:modified xsi:type="dcterms:W3CDTF">2026-09-13T07:58:37.494Z</dcterms:modified>
</cp:coreProperties>
</file>

<file path=docProps/custom.xml><?xml version="1.0" encoding="utf-8"?>
<Properties xmlns="http://schemas.openxmlformats.org/officeDocument/2006/custom-properties" xmlns:vt="http://schemas.openxmlformats.org/officeDocument/2006/docPropsVTypes"/>
</file>