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Graphics Designer</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NA</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Hyderabad</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Virtual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Hyderabad</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1L</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20L</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Yes</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Yes</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Yes</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