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hanging="283.46456692913375"/>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                                  SELECTION PROCEDURE / SCHEDULE</w:t>
      </w:r>
    </w:p>
    <w:p w:rsidR="00000000" w:rsidDel="00000000" w:rsidP="00000000" w:rsidRDefault="00000000" w:rsidRPr="00000000" w14:paraId="00000029">
      <w:pPr>
        <w:tabs>
          <w:tab w:val="center" w:pos="4860"/>
          <w:tab w:val="left" w:pos="7595"/>
          <w:tab w:val="right" w:pos="9720"/>
        </w:tabs>
        <w:rPr/>
      </w:pPr>
      <w:bookmarkStart w:colFirst="0" w:colLast="0" w:name="_heading=h.1jgim1nh0r8h" w:id="0"/>
      <w:bookmarkEnd w:id="0"/>
      <w:r w:rsidDel="00000000" w:rsidR="00000000" w:rsidRPr="00000000">
        <w:rPr>
          <w:rtl w:val="0"/>
        </w:rPr>
      </w:r>
    </w:p>
    <w:tbl>
      <w:tblPr>
        <w:tblStyle w:val="Table4"/>
        <w:tblW w:w="9885.0" w:type="dxa"/>
        <w:jc w:val="left"/>
        <w:tblInd w:w="44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9885"/>
        <w:tblGridChange w:id="0">
          <w:tblGrid>
            <w:gridCol w:w="988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A">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C">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D">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2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4">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8">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9">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C">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A">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B">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0">
      <w:pPr>
        <w:spacing w:line="259" w:lineRule="auto"/>
        <w:rPr>
          <w:sz w:val="16"/>
          <w:szCs w:val="16"/>
        </w:rPr>
      </w:pPr>
      <w:r w:rsidDel="00000000" w:rsidR="00000000" w:rsidRPr="00000000">
        <w:rPr>
          <w:rtl w:val="0"/>
        </w:rPr>
      </w:r>
    </w:p>
    <w:p w:rsidR="00000000" w:rsidDel="00000000" w:rsidP="00000000" w:rsidRDefault="00000000" w:rsidRPr="00000000" w14:paraId="00000051">
      <w:pPr>
        <w:spacing w:line="259" w:lineRule="auto"/>
        <w:rPr>
          <w:sz w:val="16"/>
          <w:szCs w:val="16"/>
        </w:rPr>
      </w:pPr>
      <w:r w:rsidDel="00000000" w:rsidR="00000000" w:rsidRPr="00000000">
        <w:rPr>
          <w:rtl w:val="0"/>
        </w:rPr>
      </w:r>
    </w:p>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D">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5F">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60">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61">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62">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6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6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6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6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67">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68">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69">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6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6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6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6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6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6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7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7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72">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73">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4">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5">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76">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77">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78">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7"/>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79">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A">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7B">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7C">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7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7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80">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8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82">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3">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8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08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8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8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8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8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08C">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08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08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08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9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09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9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09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9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09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09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09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09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09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0A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0A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0A4">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A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0A6">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A7">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0A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0A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0AA">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0A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0AE">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0A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0B0">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1">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0B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0B3">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4">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0B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0B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0B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0B9">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B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BB">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0BC">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0BD">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8"/>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0BE">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0BF">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0C0">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0C1">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0C2">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0C3">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0C4">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0C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0C6">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0C7">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0C8">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0C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0CA">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0C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0CC">
      <w:pPr>
        <w:rPr>
          <w:rFonts w:ascii="Avenir" w:cs="Avenir" w:eastAsia="Avenir" w:hAnsi="Avenir"/>
        </w:rPr>
      </w:pPr>
      <w:r w:rsidDel="00000000" w:rsidR="00000000" w:rsidRPr="00000000">
        <w:rPr>
          <w:rtl w:val="0"/>
        </w:rPr>
      </w:r>
    </w:p>
    <w:p w:rsidR="00000000" w:rsidDel="00000000" w:rsidP="00000000" w:rsidRDefault="00000000" w:rsidRPr="00000000" w14:paraId="000000CD">
      <w:pPr>
        <w:rPr>
          <w:rFonts w:ascii="Avenir" w:cs="Avenir" w:eastAsia="Avenir" w:hAnsi="Avenir"/>
        </w:rPr>
      </w:pPr>
      <w:r w:rsidDel="00000000" w:rsidR="00000000" w:rsidRPr="00000000">
        <w:rPr>
          <w:rtl w:val="0"/>
        </w:rPr>
      </w:r>
    </w:p>
    <w:p w:rsidR="00000000" w:rsidDel="00000000" w:rsidP="00000000" w:rsidRDefault="00000000" w:rsidRPr="00000000" w14:paraId="000000CE">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0CF">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0D0">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0D1">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0D2">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9"/>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0D3">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0D4">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0D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0D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0D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0D8">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0D9">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0D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0DB">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0DC">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0DD">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0DE">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0DF">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0E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0E1">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0E2">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0E3">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0E4">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0E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0E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0E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0E8">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0E9">
      <w:pPr>
        <w:tabs>
          <w:tab w:val="left" w:pos="2059"/>
        </w:tabs>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rGe/kWcle+C3BBk/enxft5d8w==">AMUW2mVb/gczCva113J6gy9tqs7iKVsPUaRZub/d+olIw1qTYh6I/E5YyWxIxQKc6/MeHb9s1VYu3B6RfjSmLoidyNWzvoDEFcZo5/DI8ZhUtgVGqax2WfoQSj7JPAMJvgmoKIgP3laeBZVYsv9sp9Tdxh9eU7g5OA==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