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Analyst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interpretation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30k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