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A8801F"/>
          <w:spacing w:val="60"/>
          <w:sz w:val="18"/>
          <w:szCs w:val="18"/>
        </w:rPr>
        <w:t xml:space="preserve">KSP DATATHON 2026  ·  CHALLENGE 02</w:t>
      </w:r>
    </w:p>
    <w:p>
      <w:pPr>
        <w:spacing w:after="40" w:before="200"/>
      </w:pPr>
      <w:r>
        <w:rPr>
          <w:rFonts w:ascii="Calibri" w:cs="Calibri" w:eastAsia="Calibri" w:hAnsi="Calibri"/>
          <w:b/>
          <w:bCs/>
          <w:color w:val="1A1D23"/>
          <w:sz w:val="68"/>
          <w:szCs w:val="68"/>
        </w:rPr>
        <w:t xml:space="preserve">PRAHARI</w:t>
      </w:r>
    </w:p>
    <w:p>
      <w:pPr>
        <w:spacing w:after="60"/>
      </w:pPr>
      <w:r>
        <w:rPr>
          <w:rFonts w:ascii="Calibri" w:cs="Calibri" w:eastAsia="Calibri" w:hAnsi="Calibri"/>
          <w:b/>
          <w:bCs/>
          <w:color w:val="A8801F"/>
          <w:sz w:val="40"/>
          <w:szCs w:val="40"/>
        </w:rPr>
        <w:t xml:space="preserve">ಪ್ರಹರಿ</w:t>
      </w:r>
    </w:p>
    <w:p>
      <w:pPr>
        <w:spacing w:after="200"/>
      </w:pPr>
      <w:r>
        <w:rPr>
          <w:rFonts w:ascii="Calibri" w:cs="Calibri" w:eastAsia="Calibri" w:hAnsi="Calibri"/>
          <w:color w:val="5A6270"/>
          <w:sz w:val="26"/>
          <w:szCs w:val="26"/>
        </w:rPr>
        <w:t xml:space="preserve">An AI-driven crime intelligence platform for Karnataka State Police</w:t>
      </w:r>
    </w:p>
    <w:p>
      <w:pPr>
        <w:pBdr>
          <w:bottom w:val="single" w:color="A8801F" w:sz="8"/>
        </w:pBdr>
        <w:spacing w:after="200" w:before="40"/>
      </w:pPr>
      <w:r>
        <w:rPr>
          <w:sz w:val="2"/>
          <w:szCs w:val="2"/>
        </w:rPr>
        <w:t xml:space="preserve"/>
      </w:r>
    </w:p>
    <w:p>
      <w:pPr>
        <w:spacing w:after="100"/>
      </w:pPr>
      <w:r>
        <w:rPr>
          <w:rFonts w:ascii="Calibri" w:cs="Calibri" w:eastAsia="Calibri" w:hAnsi="Calibri"/>
          <w:b/>
          <w:bCs/>
          <w:color w:val="1A1D23"/>
          <w:sz w:val="20"/>
          <w:szCs w:val="20"/>
        </w:rPr>
        <w:t xml:space="preserve">Live demo   </w:t>
      </w:r>
      <w:r>
        <w:rPr>
          <w:rFonts w:ascii="Consolas" w:cs="Consolas" w:eastAsia="Consolas" w:hAnsi="Consolas"/>
          <w:color w:val="A8801F"/>
          <w:sz w:val="19"/>
          <w:szCs w:val="19"/>
        </w:rPr>
        <w:t xml:space="preserve">https://prahari-60076064719.development.catalystserverless.in/app/</w:t>
      </w:r>
    </w:p>
    <w:p>
      <w:pPr>
        <w:spacing w:after="300"/>
      </w:pPr>
      <w:r>
        <w:rPr>
          <w:rFonts w:ascii="Calibri" w:cs="Calibri" w:eastAsia="Calibri" w:hAnsi="Calibri"/>
          <w:b/>
          <w:bCs/>
          <w:color w:val="1A1D23"/>
          <w:sz w:val="20"/>
          <w:szCs w:val="20"/>
        </w:rPr>
        <w:t xml:space="preserve">Team   </w:t>
      </w:r>
      <w:r>
        <w:rPr>
          <w:rFonts w:ascii="Calibri" w:cs="Calibri" w:eastAsia="Calibri" w:hAnsi="Calibri"/>
          <w:color w:val="1A1D23"/>
          <w:sz w:val="20"/>
          <w:szCs w:val="20"/>
        </w:rPr>
        <w:t xml:space="preserve">Nikethan  ·  Hari Nair  ·  Katir  ·  Dhikshitha  ·  Nihan</w:t>
      </w:r>
    </w:p>
    <w:tbl>
      <w:tblPr>
        <w:tblW w:type="dxa" w:w="9360"/>
        <w:tblBorders>
          <w:top w:val="none" w:color="FFFFFF" w:sz="0"/>
          <w:left w:val="single" w:color="A8801F" w:sz="18"/>
          <w:bottom w:val="none" w:color="FFFFFF" w:sz="0"/>
          <w:right w:val="none" w:color="FFFFFF" w:sz="0"/>
          <w:insideH w:val="none" w:color="FFFFFF" w:sz="0"/>
          <w:insideV w:val="none" w:color="FFFFFF" w:sz="0"/>
        </w:tblBorders>
      </w:tblPr>
      <w:tblGrid>
        <w:gridCol w:w="9360"/>
      </w:tblGrid>
      <w:tr>
        <w:tc>
          <w:tcPr>
            <w:tcW w:type="dxa" w:w="9360"/>
            <w:shd w:fill="F5F2EA" w:color="auto" w:val="clear"/>
            <w:tcMar>
              <w:top w:type="dxa" w:w="160"/>
              <w:left w:type="dxa" w:w="220"/>
              <w:bottom w:type="dxa" w:w="160"/>
              <w:right w:type="dxa" w:w="200"/>
            </w:tcMar>
          </w:tcPr>
          <w:p>
            <w:pPr>
              <w:spacing w:after="70"/>
            </w:pPr>
            <w:r>
              <w:rPr>
                <w:rFonts w:ascii="Calibri" w:cs="Calibri" w:eastAsia="Calibri" w:hAnsi="Calibri"/>
                <w:b/>
                <w:bCs/>
                <w:color w:val="A8801F"/>
                <w:spacing w:val="30"/>
                <w:sz w:val="17"/>
                <w:szCs w:val="17"/>
              </w:rPr>
              <w:t xml:space="preserve">IN ONE SENTENCE</w:t>
            </w:r>
          </w:p>
          <w:p>
            <w:pPr>
              <w:spacing w:line="288"/>
            </w:pPr>
            <w:r>
              <w:rPr>
                <w:rFonts w:ascii="Calibri" w:cs="Calibri" w:eastAsia="Calibri" w:hAnsi="Calibri"/>
                <w:color w:val="1A1D23"/>
                <w:sz w:val="21"/>
                <w:szCs w:val="21"/>
              </w:rPr>
              <w:t xml:space="preserve">PRAHARI turns 1,674,732 Karnataka FIR records into decisions a station house officer can act on tonight — where crime is statistically clustering, what is likely next week, and exactly where to send the patrol.</w:t>
            </w:r>
          </w:p>
        </w:tc>
      </w:tr>
    </w:tbl>
    <w:p>
      <w:r>
        <w:br w:type="page"/>
      </w:r>
    </w:p>
    <w:p>
      <w:pPr>
        <w:pStyle w:val="Heading1"/>
        <w:spacing w:after="60" w:before="380"/>
      </w:pPr>
      <w:r>
        <w:rPr>
          <w:rFonts w:ascii="Calibri" w:cs="Calibri" w:eastAsia="Calibri" w:hAnsi="Calibri"/>
          <w:b/>
          <w:bCs/>
          <w:color w:val="1A1D23"/>
          <w:sz w:val="30"/>
          <w:szCs w:val="30"/>
        </w:rPr>
        <w:t xml:space="preserve">1.  The problem</w:t>
      </w:r>
    </w:p>
    <w:p>
      <w:pPr>
        <w:spacing w:after="160" w:line="300"/>
      </w:pPr>
      <w:r>
        <w:rPr>
          <w:rFonts w:ascii="Calibri" w:cs="Calibri" w:eastAsia="Calibri" w:hAnsi="Calibri"/>
          <w:color w:val="1A1D23"/>
          <w:sz w:val="23"/>
          <w:szCs w:val="23"/>
        </w:rPr>
        <w:t xml:space="preserve">The data already exists. The decision support does not.</w:t>
      </w:r>
    </w:p>
    <w:p>
      <w:pPr>
        <w:spacing w:after="130" w:line="288"/>
        <w:jc w:val="both"/>
      </w:pPr>
      <w:r>
        <w:rPr>
          <w:rFonts w:ascii="Calibri" w:cs="Calibri" w:eastAsia="Calibri" w:hAnsi="Calibri"/>
          <w:color w:val="1A1D23"/>
          <w:sz w:val="21"/>
          <w:szCs w:val="21"/>
        </w:rPr>
        <w:t xml:space="preserve">Karnataka Police record every FIR meticulously. Nine years of those records — 1,674,732 cases across all 41 districts and 1,074 police stations — sit in a well-maintained database. But a database is not decision support, and three gaps separate the two.</w:t>
      </w:r>
    </w:p>
    <w:p>
      <w:pPr>
        <w:pStyle w:val="Heading2"/>
        <w:spacing w:after="90" w:before="260"/>
      </w:pPr>
      <w:r>
        <w:rPr>
          <w:rFonts w:ascii="Calibri" w:cs="Calibri" w:eastAsia="Calibri" w:hAnsi="Calibri"/>
          <w:b/>
          <w:bCs/>
          <w:color w:val="1A1D23"/>
          <w:sz w:val="24"/>
          <w:szCs w:val="24"/>
        </w:rPr>
        <w:t xml:space="preserve">Scattered across tables</w:t>
      </w:r>
    </w:p>
    <w:p>
      <w:pPr>
        <w:spacing w:after="130" w:line="288"/>
        <w:jc w:val="both"/>
      </w:pPr>
      <w:r>
        <w:rPr>
          <w:rFonts w:ascii="Calibri" w:cs="Calibri" w:eastAsia="Calibri" w:hAnsi="Calibri"/>
          <w:color w:val="1A1D23"/>
          <w:sz w:val="21"/>
          <w:szCs w:val="21"/>
        </w:rPr>
        <w:t xml:space="preserve">Cases, accused, victims, arrests and charge sheets live in separate tables. Linking one offender across multiple cases requires a join that nobody is running at nine in the evening, which is precisely when the question matters.</w:t>
      </w:r>
    </w:p>
    <w:p>
      <w:pPr>
        <w:pStyle w:val="Heading2"/>
        <w:spacing w:after="90" w:before="260"/>
      </w:pPr>
      <w:r>
        <w:rPr>
          <w:rFonts w:ascii="Calibri" w:cs="Calibri" w:eastAsia="Calibri" w:hAnsi="Calibri"/>
          <w:b/>
          <w:bCs/>
          <w:color w:val="1A1D23"/>
          <w:sz w:val="24"/>
          <w:szCs w:val="24"/>
        </w:rPr>
        <w:t xml:space="preserve">Reactive, not anticipatory</w:t>
      </w:r>
    </w:p>
    <w:p>
      <w:pPr>
        <w:spacing w:after="130" w:line="288"/>
        <w:jc w:val="both"/>
      </w:pPr>
      <w:r>
        <w:rPr>
          <w:rFonts w:ascii="Calibri" w:cs="Calibri" w:eastAsia="Calibri" w:hAnsi="Calibri"/>
          <w:color w:val="1A1D23"/>
          <w:sz w:val="21"/>
          <w:szCs w:val="21"/>
        </w:rPr>
        <w:t xml:space="preserve">Monthly crime reviews look backwards. A spike becomes visible weeks after it begins, and patrol routes rarely change in response to it. By the time a pattern is discussed in a review meeting, the window to disrupt it has usually closed.</w:t>
      </w:r>
    </w:p>
    <w:p>
      <w:pPr>
        <w:pStyle w:val="Heading2"/>
        <w:spacing w:after="90" w:before="260"/>
      </w:pPr>
      <w:r>
        <w:rPr>
          <w:rFonts w:ascii="Calibri" w:cs="Calibri" w:eastAsia="Calibri" w:hAnsi="Calibri"/>
          <w:b/>
          <w:bCs/>
          <w:color w:val="1A1D23"/>
          <w:sz w:val="24"/>
          <w:szCs w:val="24"/>
        </w:rPr>
        <w:t xml:space="preserve">Opaque when it matters most</w:t>
      </w:r>
    </w:p>
    <w:p>
      <w:pPr>
        <w:spacing w:after="130" w:line="288"/>
        <w:jc w:val="both"/>
      </w:pPr>
      <w:r>
        <w:rPr>
          <w:rFonts w:ascii="Calibri" w:cs="Calibri" w:eastAsia="Calibri" w:hAnsi="Calibri"/>
          <w:color w:val="1A1D23"/>
          <w:sz w:val="21"/>
          <w:szCs w:val="21"/>
        </w:rPr>
        <w:t xml:space="preserve">A risk score nobody can explain is a risk score nobody should act on — and one that can quietly encode reporting bias into deployment decisions. Predictive policing has earned its reputation honestly; any credible system has to answer for itself.</w:t>
      </w:r>
    </w:p>
    <w:p>
      <w:pPr>
        <w:pStyle w:val="Heading1"/>
        <w:spacing w:after="60" w:before="380"/>
      </w:pPr>
      <w:r>
        <w:rPr>
          <w:rFonts w:ascii="Calibri" w:cs="Calibri" w:eastAsia="Calibri" w:hAnsi="Calibri"/>
          <w:b/>
          <w:bCs/>
          <w:color w:val="1A1D23"/>
          <w:sz w:val="30"/>
          <w:szCs w:val="30"/>
        </w:rPr>
        <w:t xml:space="preserve">2.  The solution</w:t>
      </w:r>
    </w:p>
    <w:p>
      <w:pPr>
        <w:spacing w:after="130" w:line="288"/>
        <w:jc w:val="both"/>
      </w:pPr>
      <w:r>
        <w:rPr>
          <w:rFonts w:ascii="Calibri" w:cs="Calibri" w:eastAsia="Calibri" w:hAnsi="Calibri"/>
          <w:color w:val="1A1D23"/>
          <w:sz w:val="21"/>
          <w:szCs w:val="21"/>
        </w:rPr>
        <w:t xml:space="preserve">PRAHARI is organised as four layers. The design principle throughout is that every screen ends in a decision or an action, and every recommendation can explain itself. A user moves from observation to intervention without leaving the tool.</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1300"/>
        <w:gridCol w:w="4560"/>
        <w:gridCol w:w="3500"/>
      </w:tblGrid>
      <w:tr>
        <w:trPr>
          <w:tblHeader/>
        </w:trPr>
        <w:tc>
          <w:tcPr>
            <w:tcW w:type="dxa" w:w="13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Layer</w:t>
            </w:r>
          </w:p>
        </w:tc>
        <w:tc>
          <w:tcPr>
            <w:tcW w:type="dxa" w:w="456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The question it answers</w:t>
            </w:r>
          </w:p>
        </w:tc>
        <w:tc>
          <w:tcPr>
            <w:tcW w:type="dxa" w:w="35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Core method</w:t>
            </w:r>
          </w:p>
        </w:tc>
      </w:tr>
      <w:tr>
        <w:tc>
          <w:tcPr>
            <w:tcW w:type="dxa" w:w="13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SENSE</w:t>
            </w:r>
          </w:p>
        </w:tc>
        <w:tc>
          <w:tcPr>
            <w:tcW w:type="dxa" w:w="4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Where is crime actually clustering?</w:t>
            </w:r>
          </w:p>
        </w:tc>
        <w:tc>
          <w:tcPr>
            <w:tcW w:type="dxa" w:w="3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Getis-Ord Gi* / LISA, p &lt; 0.05</w:t>
            </w:r>
          </w:p>
        </w:tc>
      </w:tr>
      <w:tr>
        <w:tc>
          <w:tcPr>
            <w:tcW w:type="dxa" w:w="13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PREDICT</w:t>
            </w:r>
          </w:p>
        </w:tc>
        <w:tc>
          <w:tcPr>
            <w:tcW w:type="dxa" w:w="4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What is likely next, and who is behind it?</w:t>
            </w:r>
          </w:p>
        </w:tc>
        <w:tc>
          <w:tcPr>
            <w:tcW w:type="dxa" w:w="3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LightGBM · STL · Louvain</w:t>
            </w:r>
          </w:p>
        </w:tc>
      </w:tr>
      <w:tr>
        <w:tc>
          <w:tcPr>
            <w:tcW w:type="dxa" w:w="13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ACT</w:t>
            </w:r>
          </w:p>
        </w:tc>
        <w:tc>
          <w:tcPr>
            <w:tcW w:type="dxa" w:w="4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Where do I send the units I actually have?</w:t>
            </w:r>
          </w:p>
        </w:tc>
        <w:tc>
          <w:tcPr>
            <w:tcW w:type="dxa" w:w="3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Maximal-coverage integer program</w:t>
            </w:r>
          </w:p>
        </w:tc>
      </w:tr>
      <w:tr>
        <w:tc>
          <w:tcPr>
            <w:tcW w:type="dxa" w:w="13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TRUST</w:t>
            </w:r>
          </w:p>
        </w:tc>
        <w:tc>
          <w:tcPr>
            <w:tcW w:type="dxa" w:w="4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Why should anyone believe this?</w:t>
            </w:r>
          </w:p>
        </w:tc>
        <w:tc>
          <w:tcPr>
            <w:tcW w:type="dxa" w:w="3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SHAP · calibration · fairness audit</w:t>
            </w:r>
          </w:p>
        </w:tc>
      </w:tr>
    </w:tbl>
    <w:p>
      <w:pPr>
        <w:pStyle w:val="Heading2"/>
        <w:spacing w:after="90" w:before="260"/>
      </w:pPr>
      <w:r>
        <w:rPr>
          <w:rFonts w:ascii="Calibri" w:cs="Calibri" w:eastAsia="Calibri" w:hAnsi="Calibri"/>
          <w:b/>
          <w:bCs/>
          <w:color w:val="1A1D23"/>
          <w:sz w:val="24"/>
          <w:szCs w:val="24"/>
        </w:rPr>
        <w:t xml:space="preserve">SENSE — statistical hotspots, not a heatmap</w:t>
      </w:r>
    </w:p>
    <w:p>
      <w:pPr>
        <w:spacing w:after="130" w:line="288"/>
        <w:jc w:val="both"/>
      </w:pPr>
      <w:r>
        <w:rPr>
          <w:rFonts w:ascii="Calibri" w:cs="Calibri" w:eastAsia="Calibri" w:hAnsi="Calibri"/>
          <w:color w:val="1A1D23"/>
          <w:sz w:val="21"/>
          <w:szCs w:val="21"/>
        </w:rPr>
        <w:t xml:space="preserve">A kernel-density heatmap shows where the dots are dense. It cannot tell you whether that density exceeds what chance would produce. Getis-Ord Gi* can, so every cell on the SENSE map carries a significance level and a merely busy area is visibly distinguished from a statistically hot one. Of 16,650 analysed cells at roughly one-kilometre resolution, 722 are significant hotspots.</w:t>
      </w:r>
    </w:p>
    <w:p>
      <w:pPr>
        <w:spacing w:after="130" w:line="288"/>
        <w:jc w:val="both"/>
      </w:pPr>
      <w:r>
        <w:rPr>
          <w:rFonts w:ascii="Calibri" w:cs="Calibri" w:eastAsia="Calibri" w:hAnsi="Calibri"/>
          <w:color w:val="1A1D23"/>
          <w:sz w:val="21"/>
          <w:szCs w:val="21"/>
        </w:rPr>
        <w:t xml:space="preserve">Two baselines are computed. The state-wide lens supports DGP-level resource allocation. The district-normalised lens compares each cell against its own district, so a Superintendent in a lower-volume district still sees local hotspots rather than an empty map dominated by Bengaluru. Users drill from state to district to police station.</w:t>
      </w:r>
    </w:p>
    <w:p>
      <w:pPr>
        <w:pStyle w:val="Heading2"/>
        <w:spacing w:after="90" w:before="260"/>
      </w:pPr>
      <w:r>
        <w:rPr>
          <w:rFonts w:ascii="Calibri" w:cs="Calibri" w:eastAsia="Calibri" w:hAnsi="Calibri"/>
          <w:b/>
          <w:bCs/>
          <w:color w:val="1A1D23"/>
          <w:sz w:val="24"/>
          <w:szCs w:val="24"/>
        </w:rPr>
        <w:t xml:space="preserve">PREDICT — risk, anomalies and networks</w:t>
      </w:r>
    </w:p>
    <w:p>
      <w:pPr>
        <w:spacing w:after="130" w:line="288"/>
        <w:jc w:val="both"/>
      </w:pPr>
      <w:r>
        <w:rPr>
          <w:rFonts w:ascii="Calibri" w:cs="Calibri" w:eastAsia="Calibri" w:hAnsi="Calibri"/>
          <w:color w:val="1A1D23"/>
          <w:sz w:val="21"/>
          <w:szCs w:val="21"/>
        </w:rPr>
        <w:t xml:space="preserve">Crime is self-exciting: a burglary raises the odds of another nearby within days. The risk model encodes that near-repeat structure alongside seasonality and spatial lags, and scores next-week risk for every cell. A separate STL decomposition watches residuals so an emerging spike surfaces as a ranked alert rather than waiting for the monthly review.</w:t>
      </w:r>
    </w:p>
    <w:p>
      <w:pPr>
        <w:spacing w:after="130" w:line="288"/>
        <w:jc w:val="both"/>
      </w:pPr>
      <w:r>
        <w:rPr>
          <w:rFonts w:ascii="Calibri" w:cs="Calibri" w:eastAsia="Calibri" w:hAnsi="Calibri"/>
          <w:color w:val="1A1D23"/>
          <w:sz w:val="21"/>
          <w:szCs w:val="21"/>
        </w:rPr>
        <w:t xml:space="preserve">Alongside this, a co-offending graph links offenders who appear together on the same case — 341,803 people connected by 509,633 links, partitioned by the Louvain algorithm into communities. A disruption simulator ranks which members to remove first to fragment a given group.</w:t>
      </w:r>
    </w:p>
    <w:p>
      <w:pPr>
        <w:pStyle w:val="Heading2"/>
        <w:spacing w:after="90" w:before="260"/>
      </w:pPr>
      <w:r>
        <w:rPr>
          <w:rFonts w:ascii="Calibri" w:cs="Calibri" w:eastAsia="Calibri" w:hAnsi="Calibri"/>
          <w:b/>
          <w:bCs/>
          <w:color w:val="1A1D23"/>
          <w:sz w:val="24"/>
          <w:szCs w:val="24"/>
        </w:rPr>
        <w:t xml:space="preserve">ACT — the patrol optimizer</w:t>
      </w:r>
    </w:p>
    <w:p>
      <w:pPr>
        <w:spacing w:after="130" w:line="288"/>
        <w:jc w:val="both"/>
      </w:pPr>
      <w:r>
        <w:rPr>
          <w:rFonts w:ascii="Calibri" w:cs="Calibri" w:eastAsia="Calibri" w:hAnsi="Calibri"/>
          <w:color w:val="1A1D23"/>
          <w:sz w:val="21"/>
          <w:szCs w:val="21"/>
        </w:rPr>
        <w:t xml:space="preserve">Knowing where risk is high does not tell an officer where to place six vehicles. That is a maximal-coverage problem, and PRAHARI solves it as an integer program. A greedy heuristic runs as a fallback that always returns a plan in milliseconds, because a solver that fails to converge at eight in the evening is worse than a marginally suboptimal answer. The output is a printable briefing sheet that can be handed out at shift change.</w:t>
      </w:r>
    </w:p>
    <w:p>
      <w:pPr>
        <w:pStyle w:val="Heading2"/>
        <w:spacing w:after="90" w:before="260"/>
      </w:pPr>
      <w:r>
        <w:rPr>
          <w:rFonts w:ascii="Calibri" w:cs="Calibri" w:eastAsia="Calibri" w:hAnsi="Calibri"/>
          <w:b/>
          <w:bCs/>
          <w:color w:val="1A1D23"/>
          <w:sz w:val="24"/>
          <w:szCs w:val="24"/>
        </w:rPr>
        <w:t xml:space="preserve">TRUST — showing the working</w:t>
      </w:r>
    </w:p>
    <w:p>
      <w:pPr>
        <w:spacing w:after="130" w:line="288"/>
        <w:jc w:val="both"/>
      </w:pPr>
      <w:r>
        <w:rPr>
          <w:rFonts w:ascii="Calibri" w:cs="Calibri" w:eastAsia="Calibri" w:hAnsi="Calibri"/>
          <w:color w:val="1A1D23"/>
          <w:sz w:val="21"/>
          <w:szCs w:val="21"/>
        </w:rPr>
        <w:t xml:space="preserve">A risk score an officer cannot interrogate will not be trusted, and should not be. TRUST exposes the SHAP feature attributions behind each prediction, a calibration curve showing whether a 70 per cent risk score actually means 70 per cent, and a fairness audit that adjusts for differences in reporting rate before it accuses any district of anything.</w:t>
      </w:r>
    </w:p>
    <w:p>
      <w:r>
        <w:br w:type="page"/>
      </w:r>
    </w:p>
    <w:p>
      <w:pPr>
        <w:pStyle w:val="Heading1"/>
        <w:spacing w:after="60" w:before="380"/>
      </w:pPr>
      <w:r>
        <w:rPr>
          <w:rFonts w:ascii="Calibri" w:cs="Calibri" w:eastAsia="Calibri" w:hAnsi="Calibri"/>
          <w:b/>
          <w:bCs/>
          <w:color w:val="1A1D23"/>
          <w:sz w:val="30"/>
          <w:szCs w:val="30"/>
        </w:rPr>
        <w:t xml:space="preserve">3.  Features</w:t>
      </w:r>
    </w:p>
    <w:p>
      <w:pPr>
        <w:spacing w:after="130" w:line="288"/>
        <w:jc w:val="both"/>
      </w:pPr>
      <w:r>
        <w:rPr>
          <w:rFonts w:ascii="Calibri" w:cs="Calibri" w:eastAsia="Calibri" w:hAnsi="Calibri"/>
          <w:color w:val="1A1D23"/>
          <w:sz w:val="21"/>
          <w:szCs w:val="21"/>
        </w:rPr>
        <w:t xml:space="preserve">Mapped one-to-one against the functional requirements in the project BRD. The single outstanding item is listed as roadmap rather than quietly dropped.</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900"/>
        <w:gridCol w:w="6860"/>
        <w:gridCol w:w="1600"/>
      </w:tblGrid>
      <w:tr>
        <w:trPr>
          <w:tblHeader/>
        </w:trPr>
        <w:tc>
          <w:tcPr>
            <w:tcW w:type="dxa" w:w="9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Ref</w:t>
            </w:r>
          </w:p>
        </w:tc>
        <w:tc>
          <w:tcPr>
            <w:tcW w:type="dxa" w:w="686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Capability</w:t>
            </w:r>
          </w:p>
        </w:tc>
        <w:tc>
          <w:tcPr>
            <w:tcW w:type="dxa" w:w="16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Status</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FR-1</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Unified crime data model — eight fragmented tables normalised into one analysis-ready model</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FR-2</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Geospatial dashboards with state, district and station drill-down</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FR-3</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Statistically valid hotspot detection (Gi* / LISA) across 20 crime types</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FR-4</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Spatio-temporal risk forecasting with explanations</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FR-5</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Emerging-pattern and anomaly alerts</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FR-6</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Co-offending network, community detection, disruption prioritisation</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FR-7</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Socio-economic and demographic correlation overlay</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FR-8</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Patrol optimizer with printable briefing sheets</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FR-9</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SHAP explainability and model calibration</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FR-10</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Reporting-bias-adjusted fairness audit</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Live</w:t>
            </w:r>
          </w:p>
        </w:tc>
      </w:tr>
      <w:tr>
        <w:tc>
          <w:tcPr>
            <w:tcW w:type="dxa" w:w="9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FR-11</w:t>
            </w:r>
          </w:p>
        </w:tc>
        <w:tc>
          <w:tcPr>
            <w:tcW w:type="dxa" w:w="68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Ask Prahari — natural-language querying</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Roadmap</w:t>
            </w:r>
          </w:p>
        </w:tc>
      </w:tr>
    </w:tbl>
    <w:p>
      <w:pPr>
        <w:spacing w:after="120" w:line="264"/>
      </w:pPr>
      <w:r>
        <w:rPr>
          <w:rFonts w:ascii="Calibri" w:cs="Calibri" w:eastAsia="Calibri" w:hAnsi="Calibri"/>
          <w:i/>
          <w:iCs/>
          <w:color w:val="5A6270"/>
          <w:sz w:val="18"/>
          <w:szCs w:val="18"/>
        </w:rPr>
        <w:t xml:space="preserve">Additional capabilities beyond the requirement list: bilingual English / Kannada interface, emerging-hotspot lifecycle classification, offender dossiers with associate traversal, and a live intelligence feed.</w:t>
      </w:r>
    </w:p>
    <w:p>
      <w:pPr>
        <w:pStyle w:val="Heading1"/>
        <w:spacing w:after="60" w:before="380"/>
      </w:pPr>
      <w:r>
        <w:rPr>
          <w:rFonts w:ascii="Calibri" w:cs="Calibri" w:eastAsia="Calibri" w:hAnsi="Calibri"/>
          <w:b/>
          <w:bCs/>
          <w:color w:val="1A1D23"/>
          <w:sz w:val="30"/>
          <w:szCs w:val="30"/>
        </w:rPr>
        <w:t xml:space="preserve">4.  How it works</w:t>
      </w:r>
    </w:p>
    <w:p>
      <w:pPr>
        <w:spacing w:after="130" w:line="288"/>
        <w:jc w:val="both"/>
      </w:pPr>
      <w:r>
        <w:rPr>
          <w:rFonts w:ascii="Calibri" w:cs="Calibri" w:eastAsia="Calibri" w:hAnsi="Calibri"/>
          <w:color w:val="1A1D23"/>
          <w:sz w:val="21"/>
          <w:szCs w:val="21"/>
        </w:rPr>
        <w:t xml:space="preserve">Heavy analytics run offline and are published as cached artefacts. Nothing is computed in the browser, which is what keeps the console responsive on ordinary station hardware and makes the same artefacts servable from a scheduled nightly job.</w:t>
      </w:r>
    </w:p>
    <w:p>
      <w:pPr>
        <w:pStyle w:val="Heading2"/>
        <w:spacing w:after="90" w:before="260"/>
      </w:pPr>
      <w:r>
        <w:rPr>
          <w:rFonts w:ascii="Calibri" w:cs="Calibri" w:eastAsia="Calibri" w:hAnsi="Calibri"/>
          <w:b/>
          <w:bCs/>
          <w:color w:val="1A1D23"/>
          <w:sz w:val="24"/>
          <w:szCs w:val="24"/>
        </w:rPr>
        <w:t xml:space="preserve">Data flow</w:t>
      </w:r>
    </w:p>
    <w:p>
      <w:pPr>
        <w:spacing w:after="130" w:line="288"/>
        <w:jc w:val="both"/>
      </w:pPr>
      <w:r>
        <w:rPr>
          <w:rFonts w:ascii="Calibri" w:cs="Calibri" w:eastAsia="Calibri" w:hAnsi="Calibri"/>
          <w:color w:val="1A1D23"/>
          <w:sz w:val="21"/>
          <w:szCs w:val="21"/>
        </w:rPr>
        <w:t xml:space="preserve">Raw KSP dataset  →  Python analytics pipeline (nine steps, ~20 minutes)  →  JSON and GeoJSON artefacts  →  static hosting on Zoho Catalyst  →  React console in the browser.</w:t>
      </w:r>
    </w:p>
    <w:p>
      <w:pPr>
        <w:pStyle w:val="Heading2"/>
        <w:spacing w:after="90" w:before="260"/>
      </w:pPr>
      <w:r>
        <w:rPr>
          <w:rFonts w:ascii="Calibri" w:cs="Calibri" w:eastAsia="Calibri" w:hAnsi="Calibri"/>
          <w:b/>
          <w:bCs/>
          <w:color w:val="1A1D23"/>
          <w:sz w:val="24"/>
          <w:szCs w:val="24"/>
        </w:rPr>
        <w:t xml:space="preserve">The pipeline</w:t>
      </w:r>
    </w:p>
    <w:p>
      <w:pPr>
        <w:pStyle w:val="ListParagraph"/>
        <w:numPr>
          <w:ilvl w:val="0"/>
          <w:numId w:val="2"/>
        </w:numPr>
        <w:spacing w:after="90" w:line="276"/>
      </w:pPr>
      <w:r>
        <w:rPr>
          <w:rFonts w:ascii="Calibri" w:cs="Calibri" w:eastAsia="Calibri" w:hAnsi="Calibri"/>
          <w:b/>
          <w:bCs/>
          <w:color w:val="1A1D23"/>
          <w:sz w:val="20"/>
          <w:szCs w:val="20"/>
        </w:rPr>
        <w:t xml:space="preserve">01  </w:t>
      </w:r>
      <w:r>
        <w:rPr>
          <w:rFonts w:ascii="Calibri" w:cs="Calibri" w:eastAsia="Calibri" w:hAnsi="Calibri"/>
          <w:color w:val="1A1D23"/>
          <w:sz w:val="20"/>
          <w:szCs w:val="20"/>
        </w:rPr>
        <w:t xml:space="preserve">Load and normalise 1,674,732 FIR records from eight source tables</w:t>
      </w:r>
    </w:p>
    <w:p>
      <w:pPr>
        <w:pStyle w:val="ListParagraph"/>
        <w:numPr>
          <w:ilvl w:val="0"/>
          <w:numId w:val="2"/>
        </w:numPr>
        <w:spacing w:after="90" w:line="276"/>
      </w:pPr>
      <w:r>
        <w:rPr>
          <w:rFonts w:ascii="Calibri" w:cs="Calibri" w:eastAsia="Calibri" w:hAnsi="Calibri"/>
          <w:b/>
          <w:bCs/>
          <w:color w:val="1A1D23"/>
          <w:sz w:val="20"/>
          <w:szCs w:val="20"/>
        </w:rPr>
        <w:t xml:space="preserve">02  </w:t>
      </w:r>
      <w:r>
        <w:rPr>
          <w:rFonts w:ascii="Calibri" w:cs="Calibri" w:eastAsia="Calibri" w:hAnsi="Calibri"/>
          <w:color w:val="1A1D23"/>
          <w:sz w:val="20"/>
          <w:szCs w:val="20"/>
        </w:rPr>
        <w:t xml:space="preserve">SENSE layer — Gi* and LISA hotspot surfaces for 20 crime types under two baselines</w:t>
      </w:r>
    </w:p>
    <w:p>
      <w:pPr>
        <w:pStyle w:val="ListParagraph"/>
        <w:numPr>
          <w:ilvl w:val="0"/>
          <w:numId w:val="2"/>
        </w:numPr>
        <w:spacing w:after="90" w:line="276"/>
      </w:pPr>
      <w:r>
        <w:rPr>
          <w:rFonts w:ascii="Calibri" w:cs="Calibri" w:eastAsia="Calibri" w:hAnsi="Calibri"/>
          <w:b/>
          <w:bCs/>
          <w:color w:val="1A1D23"/>
          <w:sz w:val="20"/>
          <w:szCs w:val="20"/>
        </w:rPr>
        <w:t xml:space="preserve">03  </w:t>
      </w:r>
      <w:r>
        <w:rPr>
          <w:rFonts w:ascii="Calibri" w:cs="Calibri" w:eastAsia="Calibri" w:hAnsi="Calibri"/>
          <w:color w:val="1A1D23"/>
          <w:sz w:val="20"/>
          <w:szCs w:val="20"/>
        </w:rPr>
        <w:t xml:space="preserve">Feature engineering — near-repeat radii, temporal cycles, spatial lags</w:t>
      </w:r>
    </w:p>
    <w:p>
      <w:pPr>
        <w:pStyle w:val="ListParagraph"/>
        <w:numPr>
          <w:ilvl w:val="0"/>
          <w:numId w:val="2"/>
        </w:numPr>
        <w:spacing w:after="90" w:line="276"/>
      </w:pPr>
      <w:r>
        <w:rPr>
          <w:rFonts w:ascii="Calibri" w:cs="Calibri" w:eastAsia="Calibri" w:hAnsi="Calibri"/>
          <w:b/>
          <w:bCs/>
          <w:color w:val="1A1D23"/>
          <w:sz w:val="20"/>
          <w:szCs w:val="20"/>
        </w:rPr>
        <w:t xml:space="preserve">04  </w:t>
      </w:r>
      <w:r>
        <w:rPr>
          <w:rFonts w:ascii="Calibri" w:cs="Calibri" w:eastAsia="Calibri" w:hAnsi="Calibri"/>
          <w:color w:val="1A1D23"/>
          <w:sz w:val="20"/>
          <w:szCs w:val="20"/>
        </w:rPr>
        <w:t xml:space="preserve">Risk model — LightGBM trained on a temporal split, then calibrated</w:t>
      </w:r>
    </w:p>
    <w:p>
      <w:pPr>
        <w:pStyle w:val="ListParagraph"/>
        <w:numPr>
          <w:ilvl w:val="0"/>
          <w:numId w:val="2"/>
        </w:numPr>
        <w:spacing w:after="90" w:line="276"/>
      </w:pPr>
      <w:r>
        <w:rPr>
          <w:rFonts w:ascii="Calibri" w:cs="Calibri" w:eastAsia="Calibri" w:hAnsi="Calibri"/>
          <w:b/>
          <w:bCs/>
          <w:color w:val="1A1D23"/>
          <w:sz w:val="20"/>
          <w:szCs w:val="20"/>
        </w:rPr>
        <w:t xml:space="preserve">05  </w:t>
      </w:r>
      <w:r>
        <w:rPr>
          <w:rFonts w:ascii="Calibri" w:cs="Calibri" w:eastAsia="Calibri" w:hAnsi="Calibri"/>
          <w:color w:val="1A1D23"/>
          <w:sz w:val="20"/>
          <w:szCs w:val="20"/>
        </w:rPr>
        <w:t xml:space="preserve">Network analysis — co-offending graph construction and Louvain communities</w:t>
      </w:r>
    </w:p>
    <w:p>
      <w:pPr>
        <w:pStyle w:val="ListParagraph"/>
        <w:numPr>
          <w:ilvl w:val="0"/>
          <w:numId w:val="2"/>
        </w:numPr>
        <w:spacing w:after="90" w:line="276"/>
      </w:pPr>
      <w:r>
        <w:rPr>
          <w:rFonts w:ascii="Calibri" w:cs="Calibri" w:eastAsia="Calibri" w:hAnsi="Calibri"/>
          <w:b/>
          <w:bCs/>
          <w:color w:val="1A1D23"/>
          <w:sz w:val="20"/>
          <w:szCs w:val="20"/>
        </w:rPr>
        <w:t xml:space="preserve">06  </w:t>
      </w:r>
      <w:r>
        <w:rPr>
          <w:rFonts w:ascii="Calibri" w:cs="Calibri" w:eastAsia="Calibri" w:hAnsi="Calibri"/>
          <w:color w:val="1A1D23"/>
          <w:sz w:val="20"/>
          <w:szCs w:val="20"/>
        </w:rPr>
        <w:t xml:space="preserve">Anomaly detection — STL decomposition and residual ranking</w:t>
      </w:r>
    </w:p>
    <w:p>
      <w:pPr>
        <w:pStyle w:val="ListParagraph"/>
        <w:numPr>
          <w:ilvl w:val="0"/>
          <w:numId w:val="2"/>
        </w:numPr>
        <w:spacing w:after="90" w:line="276"/>
      </w:pPr>
      <w:r>
        <w:rPr>
          <w:rFonts w:ascii="Calibri" w:cs="Calibri" w:eastAsia="Calibri" w:hAnsi="Calibri"/>
          <w:b/>
          <w:bCs/>
          <w:color w:val="1A1D23"/>
          <w:sz w:val="20"/>
          <w:szCs w:val="20"/>
        </w:rPr>
        <w:t xml:space="preserve">07  </w:t>
      </w:r>
      <w:r>
        <w:rPr>
          <w:rFonts w:ascii="Calibri" w:cs="Calibri" w:eastAsia="Calibri" w:hAnsi="Calibri"/>
          <w:color w:val="1A1D23"/>
          <w:sz w:val="20"/>
          <w:szCs w:val="20"/>
        </w:rPr>
        <w:t xml:space="preserve">Patrol optimizer — maximal-coverage ILP with greedy fallback, per district</w:t>
      </w:r>
    </w:p>
    <w:p>
      <w:pPr>
        <w:pStyle w:val="ListParagraph"/>
        <w:numPr>
          <w:ilvl w:val="0"/>
          <w:numId w:val="2"/>
        </w:numPr>
        <w:spacing w:after="90" w:line="276"/>
      </w:pPr>
      <w:r>
        <w:rPr>
          <w:rFonts w:ascii="Calibri" w:cs="Calibri" w:eastAsia="Calibri" w:hAnsi="Calibri"/>
          <w:b/>
          <w:bCs/>
          <w:color w:val="1A1D23"/>
          <w:sz w:val="20"/>
          <w:szCs w:val="20"/>
        </w:rPr>
        <w:t xml:space="preserve">08  </w:t>
      </w:r>
      <w:r>
        <w:rPr>
          <w:rFonts w:ascii="Calibri" w:cs="Calibri" w:eastAsia="Calibri" w:hAnsi="Calibri"/>
          <w:color w:val="1A1D23"/>
          <w:sz w:val="20"/>
          <w:szCs w:val="20"/>
        </w:rPr>
        <w:t xml:space="preserve">TRUST layer — SHAP attributions, fairness audit, calibration curve</w:t>
      </w:r>
    </w:p>
    <w:p>
      <w:pPr>
        <w:pStyle w:val="ListParagraph"/>
        <w:numPr>
          <w:ilvl w:val="0"/>
          <w:numId w:val="2"/>
        </w:numPr>
        <w:spacing w:after="90" w:line="276"/>
      </w:pPr>
      <w:r>
        <w:rPr>
          <w:rFonts w:ascii="Calibri" w:cs="Calibri" w:eastAsia="Calibri" w:hAnsi="Calibri"/>
          <w:b/>
          <w:bCs/>
          <w:color w:val="1A1D23"/>
          <w:sz w:val="20"/>
          <w:szCs w:val="20"/>
        </w:rPr>
        <w:t xml:space="preserve">09  </w:t>
      </w:r>
      <w:r>
        <w:rPr>
          <w:rFonts w:ascii="Calibri" w:cs="Calibri" w:eastAsia="Calibri" w:hAnsi="Calibri"/>
          <w:color w:val="1A1D23"/>
          <w:sz w:val="20"/>
          <w:szCs w:val="20"/>
        </w:rPr>
        <w:t xml:space="preserve">Benchmark harness — a reproducible report every published figure is read from</w:t>
      </w:r>
    </w:p>
    <w:tbl>
      <w:tblPr>
        <w:tblW w:type="dxa" w:w="9360"/>
        <w:tblBorders>
          <w:top w:val="none" w:color="FFFFFF" w:sz="0"/>
          <w:left w:val="single" w:color="A8801F" w:sz="18"/>
          <w:bottom w:val="none" w:color="FFFFFF" w:sz="0"/>
          <w:right w:val="none" w:color="FFFFFF" w:sz="0"/>
          <w:insideH w:val="none" w:color="FFFFFF" w:sz="0"/>
          <w:insideV w:val="none" w:color="FFFFFF" w:sz="0"/>
        </w:tblBorders>
      </w:tblPr>
      <w:tblGrid>
        <w:gridCol w:w="9360"/>
      </w:tblGrid>
      <w:tr>
        <w:tc>
          <w:tcPr>
            <w:tcW w:type="dxa" w:w="9360"/>
            <w:shd w:fill="F5F2EA" w:color="auto" w:val="clear"/>
            <w:tcMar>
              <w:top w:type="dxa" w:w="160"/>
              <w:left w:type="dxa" w:w="220"/>
              <w:bottom w:type="dxa" w:w="160"/>
              <w:right w:type="dxa" w:w="200"/>
            </w:tcMar>
          </w:tcPr>
          <w:p>
            <w:pPr>
              <w:spacing w:after="70"/>
            </w:pPr>
            <w:r>
              <w:rPr>
                <w:rFonts w:ascii="Calibri" w:cs="Calibri" w:eastAsia="Calibri" w:hAnsi="Calibri"/>
                <w:b/>
                <w:bCs/>
                <w:color w:val="A8801F"/>
                <w:spacing w:val="30"/>
                <w:sz w:val="17"/>
                <w:szCs w:val="17"/>
              </w:rPr>
              <w:t xml:space="preserve">REPRODUCIBILITY</w:t>
            </w:r>
          </w:p>
          <w:p>
            <w:pPr>
              <w:spacing w:line="288"/>
            </w:pPr>
            <w:r>
              <w:rPr>
                <w:rFonts w:ascii="Calibri" w:cs="Calibri" w:eastAsia="Calibri" w:hAnsi="Calibri"/>
                <w:color w:val="1A1D23"/>
                <w:sz w:val="21"/>
                <w:szCs w:val="21"/>
              </w:rPr>
              <w:t xml:space="preserve">One command regenerates every artefact the console reads. Because the benchmark report is read at runtime by the interface, the published numbers cannot drift from what the pipeline actually produced.</w:t>
            </w:r>
          </w:p>
        </w:tc>
      </w:tr>
    </w:tbl>
    <w:p>
      <w:r>
        <w:br w:type="page"/>
      </w:r>
    </w:p>
    <w:p>
      <w:pPr>
        <w:pStyle w:val="Heading1"/>
        <w:spacing w:after="60" w:before="380"/>
      </w:pPr>
      <w:r>
        <w:rPr>
          <w:rFonts w:ascii="Calibri" w:cs="Calibri" w:eastAsia="Calibri" w:hAnsi="Calibri"/>
          <w:b/>
          <w:bCs/>
          <w:color w:val="1A1D23"/>
          <w:sz w:val="30"/>
          <w:szCs w:val="30"/>
        </w:rPr>
        <w:t xml:space="preserve">5.  Technology stack</w:t>
      </w:r>
    </w:p>
    <w:p>
      <w:pPr>
        <w:pStyle w:val="Heading2"/>
        <w:spacing w:after="90" w:before="260"/>
      </w:pPr>
      <w:r>
        <w:rPr>
          <w:rFonts w:ascii="Calibri" w:cs="Calibri" w:eastAsia="Calibri" w:hAnsi="Calibri"/>
          <w:b/>
          <w:bCs/>
          <w:color w:val="1A1D23"/>
          <w:sz w:val="24"/>
          <w:szCs w:val="24"/>
        </w:rPr>
        <w:t xml:space="preserve">Frontend</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2600"/>
        <w:gridCol w:w="6760"/>
      </w:tblGrid>
      <w:tr>
        <w:trPr>
          <w:tblHeader/>
        </w:trPr>
        <w:tc>
          <w:tcPr>
            <w:tcW w:type="dxa" w:w="26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Technology</w:t>
            </w:r>
          </w:p>
        </w:tc>
        <w:tc>
          <w:tcPr>
            <w:tcW w:type="dxa" w:w="676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Role in PRAHARI</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React 19 + TypeScript</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Component model and end-to-end type safety across roughly 70 source files</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Vite 8</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Build tooling. The console is code-split behind React.lazy, so the initial payload is 288 kB rather than 2.5 MB</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MapLibre GL</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Open-source vector basemap — no proprietary mapping key required</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deck.gl</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GPU-accelerated layers for hotspot columns, risk surfaces and patrol beats</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Recharts</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Trend, distribution and precision-at-k charts</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Tailwind CSS v4</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CSS-first theming; a single @theme block remaps the palette without touching component markup</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Custom hash router</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Deep links that survive a refresh on static hosting, with no router dependency</w:t>
            </w:r>
          </w:p>
        </w:tc>
      </w:tr>
    </w:tbl>
    <w:p>
      <w:pPr>
        <w:pStyle w:val="Heading2"/>
        <w:spacing w:after="90" w:before="260"/>
      </w:pPr>
      <w:r>
        <w:rPr>
          <w:rFonts w:ascii="Calibri" w:cs="Calibri" w:eastAsia="Calibri" w:hAnsi="Calibri"/>
          <w:b/>
          <w:bCs/>
          <w:color w:val="1A1D23"/>
          <w:sz w:val="24"/>
          <w:szCs w:val="24"/>
        </w:rPr>
        <w:t xml:space="preserve">Analytics and optimisation</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2600"/>
        <w:gridCol w:w="6760"/>
      </w:tblGrid>
      <w:tr>
        <w:trPr>
          <w:tblHeader/>
        </w:trPr>
        <w:tc>
          <w:tcPr>
            <w:tcW w:type="dxa" w:w="26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Technology</w:t>
            </w:r>
          </w:p>
        </w:tc>
        <w:tc>
          <w:tcPr>
            <w:tcW w:type="dxa" w:w="676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Role in PRAHARI</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pandas</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Ingest and normalise the eight CCTNS source tables</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libpysal + esda</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Getis-Ord Gi* and LISA spatial statistics</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scikit-learn + LightGBM</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Spatio-temporal risk model, trained on a temporal split to avoid leakage</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statsmodels</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STL decomposition for anomaly detection</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networkx</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Co-offending graph, Louvain communities, disruption simulation</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SHAP</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Per-prediction feature attributions</w:t>
            </w:r>
          </w:p>
        </w:tc>
      </w:tr>
      <w:tr>
        <w:tc>
          <w:tcPr>
            <w:tcW w:type="dxa" w:w="26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OR-Tools / PuLP</w:t>
            </w:r>
          </w:p>
        </w:tc>
        <w:tc>
          <w:tcPr>
            <w:tcW w:type="dxa" w:w="6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Maximal-coverage integer program for patrol placement</w:t>
            </w:r>
          </w:p>
        </w:tc>
      </w:tr>
    </w:tbl>
    <w:p>
      <w:pPr>
        <w:pStyle w:val="Heading2"/>
        <w:spacing w:after="90" w:before="260"/>
      </w:pPr>
      <w:r>
        <w:rPr>
          <w:rFonts w:ascii="Calibri" w:cs="Calibri" w:eastAsia="Calibri" w:hAnsi="Calibri"/>
          <w:b/>
          <w:bCs/>
          <w:color w:val="1A1D23"/>
          <w:sz w:val="24"/>
          <w:szCs w:val="24"/>
        </w:rPr>
        <w:t xml:space="preserve">Platform — Zoho Catalyst</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2200"/>
        <w:gridCol w:w="5560"/>
        <w:gridCol w:w="1600"/>
      </w:tblGrid>
      <w:tr>
        <w:trPr>
          <w:tblHeader/>
        </w:trPr>
        <w:tc>
          <w:tcPr>
            <w:tcW w:type="dxa" w:w="22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Service</w:t>
            </w:r>
          </w:p>
        </w:tc>
        <w:tc>
          <w:tcPr>
            <w:tcW w:type="dxa" w:w="556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How PRAHARI uses it</w:t>
            </w:r>
          </w:p>
        </w:tc>
        <w:tc>
          <w:tcPr>
            <w:tcW w:type="dxa" w:w="16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Status</w:t>
            </w:r>
          </w:p>
        </w:tc>
      </w:tr>
      <w:tr>
        <w:tc>
          <w:tcPr>
            <w:tcW w:type="dxa" w:w="22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Catalyst Hosting</w:t>
            </w:r>
          </w:p>
        </w:tc>
        <w:tc>
          <w:tcPr>
            <w:tcW w:type="dxa" w:w="5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Serves the React console, the public site and the precomputed analytics artefacts</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Deployed</w:t>
            </w:r>
          </w:p>
        </w:tc>
      </w:tr>
      <w:tr>
        <w:tc>
          <w:tcPr>
            <w:tcW w:type="dxa" w:w="22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Catalyst Functions</w:t>
            </w:r>
          </w:p>
        </w:tc>
        <w:tc>
          <w:tcPr>
            <w:tcW w:type="dxa" w:w="5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Query API over the cached analytics; human-in-the-loop feedback endpoint</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Architected</w:t>
            </w:r>
          </w:p>
        </w:tc>
      </w:tr>
      <w:tr>
        <w:tc>
          <w:tcPr>
            <w:tcW w:type="dxa" w:w="22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Catalyst Data Store</w:t>
            </w:r>
          </w:p>
        </w:tc>
        <w:tc>
          <w:tcPr>
            <w:tcW w:type="dxa" w:w="5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Normalised case, offender and feedback tables</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Architected</w:t>
            </w:r>
          </w:p>
        </w:tc>
      </w:tr>
      <w:tr>
        <w:tc>
          <w:tcPr>
            <w:tcW w:type="dxa" w:w="22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Catalyst Stratus</w:t>
            </w:r>
          </w:p>
        </w:tc>
        <w:tc>
          <w:tcPr>
            <w:tcW w:type="dxa" w:w="5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Object storage for hotspot surfaces and model artefacts</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Architected</w:t>
            </w:r>
          </w:p>
        </w:tc>
      </w:tr>
      <w:tr>
        <w:tc>
          <w:tcPr>
            <w:tcW w:type="dxa" w:w="22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Catalyst Cron</w:t>
            </w:r>
          </w:p>
        </w:tc>
        <w:tc>
          <w:tcPr>
            <w:tcW w:type="dxa" w:w="55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Nightly recomputation of hotspots, risk scores, anomalies and patrol plans</w:t>
            </w:r>
          </w:p>
        </w:tc>
        <w:tc>
          <w:tcPr>
            <w:tcW w:type="dxa" w:w="16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Architected</w:t>
            </w:r>
          </w:p>
        </w:tc>
      </w:tr>
    </w:tbl>
    <w:p>
      <w:pPr>
        <w:spacing w:after="120" w:line="264"/>
      </w:pPr>
      <w:r>
        <w:rPr>
          <w:rFonts w:ascii="Calibri" w:cs="Calibri" w:eastAsia="Calibri" w:hAnsi="Calibri"/>
          <w:i/>
          <w:iCs/>
          <w:color w:val="5A6270"/>
          <w:sz w:val="18"/>
          <w:szCs w:val="18"/>
        </w:rPr>
        <w:t xml:space="preserve">Stated deliberately: only Hosting is live in the current deployment. The remaining services are designed into the architecture and form the next integration step. We would rather state that plainly than claim a service the deployment does not yet touch.</w:t>
      </w:r>
    </w:p>
    <w:p>
      <w:r>
        <w:br w:type="page"/>
      </w:r>
    </w:p>
    <w:p>
      <w:pPr>
        <w:pStyle w:val="Heading1"/>
        <w:spacing w:after="60" w:before="380"/>
      </w:pPr>
      <w:r>
        <w:rPr>
          <w:rFonts w:ascii="Calibri" w:cs="Calibri" w:eastAsia="Calibri" w:hAnsi="Calibri"/>
          <w:b/>
          <w:bCs/>
          <w:color w:val="1A1D23"/>
          <w:sz w:val="30"/>
          <w:szCs w:val="30"/>
        </w:rPr>
        <w:t xml:space="preserve">6.  Results</w:t>
      </w:r>
    </w:p>
    <w:p>
      <w:pPr>
        <w:spacing w:after="130" w:line="288"/>
        <w:jc w:val="both"/>
      </w:pPr>
      <w:r>
        <w:rPr>
          <w:rFonts w:ascii="Calibri" w:cs="Calibri" w:eastAsia="Calibri" w:hAnsi="Calibri"/>
          <w:color w:val="1A1D23"/>
          <w:sz w:val="21"/>
          <w:szCs w:val="21"/>
        </w:rPr>
        <w:t xml:space="preserve">Every figure below is produced by the benchmark harness and read live by the interface from the same report file.</w:t>
      </w:r>
    </w:p>
    <w:tbl>
      <w:tblPr>
        <w:tblW w:type="dxa" w:w="9360"/>
        <w:tblBorders>
          <w:top w:val="single" w:color="D5DAE0" w:sz="4"/>
          <w:left w:val="none" w:color="FFFFFF" w:sz="0"/>
          <w:bottom w:val="single" w:color="D5DAE0" w:sz="4"/>
          <w:right w:val="none" w:color="FFFFFF" w:sz="0"/>
          <w:insideH w:val="single" w:color="D5DAE0" w:sz="4"/>
          <w:insideV w:val="none" w:color="FFFFFF" w:sz="0"/>
        </w:tblBorders>
      </w:tblPr>
      <w:tblGrid>
        <w:gridCol w:w="2100"/>
        <w:gridCol w:w="1500"/>
        <w:gridCol w:w="5760"/>
      </w:tblGrid>
      <w:tr>
        <w:trPr>
          <w:tblHeader/>
        </w:trPr>
        <w:tc>
          <w:tcPr>
            <w:tcW w:type="dxa" w:w="21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Metric</w:t>
            </w:r>
          </w:p>
        </w:tc>
        <w:tc>
          <w:tcPr>
            <w:tcW w:type="dxa" w:w="150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Value</w:t>
            </w:r>
          </w:p>
        </w:tc>
        <w:tc>
          <w:tcPr>
            <w:tcW w:type="dxa" w:w="5760"/>
            <w:shd w:fill="EFF1F4" w:color="auto" w:val="clear"/>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What it means</w:t>
            </w:r>
          </w:p>
        </w:tc>
      </w:tr>
      <w:tr>
        <w:tc>
          <w:tcPr>
            <w:tcW w:type="dxa" w:w="21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Test AUC</w:t>
            </w:r>
          </w:p>
        </w:tc>
        <w:tc>
          <w:tcPr>
            <w:tcW w:type="dxa" w:w="1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0.847</w:t>
            </w:r>
          </w:p>
        </w:tc>
        <w:tc>
          <w:tcPr>
            <w:tcW w:type="dxa" w:w="5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Discrimination on a held-out temporal split — trained on earlier years, tested on later</w:t>
            </w:r>
          </w:p>
        </w:tc>
      </w:tr>
      <w:tr>
        <w:tc>
          <w:tcPr>
            <w:tcW w:type="dxa" w:w="21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PAI at top 5%</w:t>
            </w:r>
          </w:p>
        </w:tc>
        <w:tc>
          <w:tcPr>
            <w:tcW w:type="dxa" w:w="1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10.63</w:t>
            </w:r>
          </w:p>
        </w:tc>
        <w:tc>
          <w:tcPr>
            <w:tcW w:type="dxa" w:w="5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53.1% of crime falls inside the 5% of area the model flags</w:t>
            </w:r>
          </w:p>
        </w:tc>
      </w:tr>
      <w:tr>
        <w:tc>
          <w:tcPr>
            <w:tcW w:type="dxa" w:w="21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Patrol coverage</w:t>
            </w:r>
          </w:p>
        </w:tc>
        <w:tc>
          <w:tcPr>
            <w:tcW w:type="dxa" w:w="1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11.67%</w:t>
            </w:r>
          </w:p>
        </w:tc>
        <w:tc>
          <w:tcPr>
            <w:tcW w:type="dxa" w:w="5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Versus 9.87% for a status-quo strategy using the same number of units</w:t>
            </w:r>
          </w:p>
        </w:tc>
      </w:tr>
      <w:tr>
        <w:tc>
          <w:tcPr>
            <w:tcW w:type="dxa" w:w="21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Coverage uplift</w:t>
            </w:r>
          </w:p>
        </w:tc>
        <w:tc>
          <w:tcPr>
            <w:tcW w:type="dxa" w:w="1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+18.2%</w:t>
            </w:r>
          </w:p>
        </w:tc>
        <w:tc>
          <w:tcPr>
            <w:tcW w:type="dxa" w:w="5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Relative improvement over status quo, at zero additional cost</w:t>
            </w:r>
          </w:p>
        </w:tc>
      </w:tr>
      <w:tr>
        <w:tc>
          <w:tcPr>
            <w:tcW w:type="dxa" w:w="21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ILP verification</w:t>
            </w:r>
          </w:p>
        </w:tc>
        <w:tc>
          <w:tcPr>
            <w:tcW w:type="dxa" w:w="1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11.72%</w:t>
            </w:r>
          </w:p>
        </w:tc>
        <w:tc>
          <w:tcPr>
            <w:tcW w:type="dxa" w:w="5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The optimal solution; the fast greedy heuristic lands within 0.05 points</w:t>
            </w:r>
          </w:p>
        </w:tc>
      </w:tr>
      <w:tr>
        <w:tc>
          <w:tcPr>
            <w:tcW w:type="dxa" w:w="21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Network scale</w:t>
            </w:r>
          </w:p>
        </w:tc>
        <w:tc>
          <w:tcPr>
            <w:tcW w:type="dxa" w:w="1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341,803</w:t>
            </w:r>
          </w:p>
        </w:tc>
        <w:tc>
          <w:tcPr>
            <w:tcW w:type="dxa" w:w="5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Offenders, connected by 509,633 co-offending links</w:t>
            </w:r>
          </w:p>
        </w:tc>
      </w:tr>
      <w:tr>
        <w:tc>
          <w:tcPr>
            <w:tcW w:type="dxa" w:w="21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Modularity</w:t>
            </w:r>
          </w:p>
        </w:tc>
        <w:tc>
          <w:tcPr>
            <w:tcW w:type="dxa" w:w="1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0.978</w:t>
            </w:r>
          </w:p>
        </w:tc>
        <w:tc>
          <w:tcPr>
            <w:tcW w:type="dxa" w:w="5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Community structure quality across 35,333 detected groups</w:t>
            </w:r>
          </w:p>
        </w:tc>
      </w:tr>
      <w:tr>
        <w:tc>
          <w:tcPr>
            <w:tcW w:type="dxa" w:w="2100"/>
            <w:tcMar>
              <w:top w:type="dxa" w:w="90"/>
              <w:left w:type="dxa" w:w="130"/>
              <w:bottom w:type="dxa" w:w="90"/>
              <w:right w:type="dxa" w:w="130"/>
            </w:tcMar>
          </w:tcPr>
          <w:p>
            <w:pPr>
              <w:spacing w:line="264"/>
            </w:pPr>
            <w:r>
              <w:rPr>
                <w:rFonts w:ascii="Calibri" w:cs="Calibri" w:eastAsia="Calibri" w:hAnsi="Calibri"/>
                <w:b/>
                <w:bCs/>
                <w:color w:val="1A1D23"/>
                <w:sz w:val="19"/>
                <w:szCs w:val="19"/>
              </w:rPr>
              <w:t xml:space="preserve">Allocation Gini</w:t>
            </w:r>
          </w:p>
        </w:tc>
        <w:tc>
          <w:tcPr>
            <w:tcW w:type="dxa" w:w="150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0.183</w:t>
            </w:r>
          </w:p>
        </w:tc>
        <w:tc>
          <w:tcPr>
            <w:tcW w:type="dxa" w:w="5760"/>
            <w:tcMar>
              <w:top w:type="dxa" w:w="90"/>
              <w:left w:type="dxa" w:w="130"/>
              <w:bottom w:type="dxa" w:w="90"/>
              <w:right w:type="dxa" w:w="130"/>
            </w:tcMar>
          </w:tcPr>
          <w:p>
            <w:pPr>
              <w:spacing w:line="264"/>
            </w:pPr>
            <w:r>
              <w:rPr>
                <w:rFonts w:ascii="Calibri" w:cs="Calibri" w:eastAsia="Calibri" w:hAnsi="Calibri"/>
                <w:b w:val="false"/>
                <w:bCs w:val="false"/>
                <w:color w:val="1A1D23"/>
                <w:sz w:val="19"/>
                <w:szCs w:val="19"/>
              </w:rPr>
              <w:t xml:space="preserve">Lower is more equitable; 11 districts flagged for review</w:t>
            </w:r>
          </w:p>
        </w:tc>
      </w:tr>
    </w:tbl>
    <w:tbl>
      <w:tblPr>
        <w:tblW w:type="dxa" w:w="9360"/>
        <w:tblBorders>
          <w:top w:val="none" w:color="FFFFFF" w:sz="0"/>
          <w:left w:val="single" w:color="A8801F" w:sz="18"/>
          <w:bottom w:val="none" w:color="FFFFFF" w:sz="0"/>
          <w:right w:val="none" w:color="FFFFFF" w:sz="0"/>
          <w:insideH w:val="none" w:color="FFFFFF" w:sz="0"/>
          <w:insideV w:val="none" w:color="FFFFFF" w:sz="0"/>
        </w:tblBorders>
      </w:tblPr>
      <w:tblGrid>
        <w:gridCol w:w="9360"/>
      </w:tblGrid>
      <w:tr>
        <w:tc>
          <w:tcPr>
            <w:tcW w:type="dxa" w:w="9360"/>
            <w:shd w:fill="F5F2EA" w:color="auto" w:val="clear"/>
            <w:tcMar>
              <w:top w:type="dxa" w:w="160"/>
              <w:left w:type="dxa" w:w="220"/>
              <w:bottom w:type="dxa" w:w="160"/>
              <w:right w:type="dxa" w:w="200"/>
            </w:tcMar>
          </w:tcPr>
          <w:p>
            <w:pPr>
              <w:spacing w:after="70"/>
            </w:pPr>
            <w:r>
              <w:rPr>
                <w:rFonts w:ascii="Calibri" w:cs="Calibri" w:eastAsia="Calibri" w:hAnsi="Calibri"/>
                <w:b/>
                <w:bCs/>
                <w:color w:val="A8801F"/>
                <w:spacing w:val="30"/>
                <w:sz w:val="17"/>
                <w:szCs w:val="17"/>
              </w:rPr>
              <w:t xml:space="preserve">HOW TO READ THE PATROL NUMBER</w:t>
            </w:r>
          </w:p>
          <w:p>
            <w:pPr>
              <w:spacing w:line="288"/>
            </w:pPr>
            <w:r>
              <w:rPr>
                <w:rFonts w:ascii="Calibri" w:cs="Calibri" w:eastAsia="Calibri" w:hAnsi="Calibri"/>
                <w:color w:val="1A1D23"/>
                <w:sz w:val="21"/>
                <w:szCs w:val="21"/>
              </w:rPr>
              <w:t xml:space="preserve">The uplift is measured against a status-quo strategy that places units at the highest-volume stations — what typically happens today — and not against random placement, which would flatter the result considerably. The scenario is a single district with six units on a two-kilometre beat radius.</w:t>
            </w:r>
          </w:p>
        </w:tc>
      </w:tr>
    </w:tbl>
    <w:p>
      <w:pPr>
        <w:pStyle w:val="Heading1"/>
        <w:spacing w:after="60" w:before="380"/>
      </w:pPr>
      <w:r>
        <w:rPr>
          <w:rFonts w:ascii="Calibri" w:cs="Calibri" w:eastAsia="Calibri" w:hAnsi="Calibri"/>
          <w:b/>
          <w:bCs/>
          <w:color w:val="1A1D23"/>
          <w:sz w:val="30"/>
          <w:szCs w:val="30"/>
        </w:rPr>
        <w:t xml:space="preserve">7.  Responsible AI</w:t>
      </w:r>
    </w:p>
    <w:p>
      <w:pPr>
        <w:spacing w:after="130" w:line="288"/>
        <w:jc w:val="both"/>
      </w:pPr>
      <w:r>
        <w:rPr>
          <w:rFonts w:ascii="Calibri" w:cs="Calibri" w:eastAsia="Calibri" w:hAnsi="Calibri"/>
          <w:color w:val="1A1D23"/>
          <w:sz w:val="21"/>
          <w:szCs w:val="21"/>
        </w:rPr>
        <w:t xml:space="preserve">Predictive policing has earned its reputation honestly. These constraints were designed in from the start, not added after a reviewer asked.</w:t>
      </w:r>
    </w:p>
    <w:p>
      <w:pPr>
        <w:pStyle w:val="ListParagraph"/>
        <w:numPr>
          <w:ilvl w:val="0"/>
          <w:numId w:val="2"/>
        </w:numPr>
        <w:spacing w:after="90" w:line="276"/>
      </w:pPr>
      <w:r>
        <w:rPr>
          <w:rFonts w:ascii="Calibri" w:cs="Calibri" w:eastAsia="Calibri" w:hAnsi="Calibri"/>
          <w:b/>
          <w:bCs/>
          <w:color w:val="1A1D23"/>
          <w:sz w:val="20"/>
          <w:szCs w:val="20"/>
        </w:rPr>
        <w:t xml:space="preserve">Explainability  </w:t>
      </w:r>
      <w:r>
        <w:rPr>
          <w:rFonts w:ascii="Calibri" w:cs="Calibri" w:eastAsia="Calibri" w:hAnsi="Calibri"/>
          <w:color w:val="1A1D23"/>
          <w:sz w:val="20"/>
          <w:szCs w:val="20"/>
        </w:rPr>
        <w:t xml:space="preserve">SHAP attributions accompany every prediction, and a reliability diagram shows whether a 70 per cent risk score actually corresponds to a 70 per cent outcome rate.</w:t>
      </w:r>
    </w:p>
    <w:p>
      <w:pPr>
        <w:pStyle w:val="ListParagraph"/>
        <w:numPr>
          <w:ilvl w:val="0"/>
          <w:numId w:val="2"/>
        </w:numPr>
        <w:spacing w:after="90" w:line="276"/>
      </w:pPr>
      <w:r>
        <w:rPr>
          <w:rFonts w:ascii="Calibri" w:cs="Calibri" w:eastAsia="Calibri" w:hAnsi="Calibri"/>
          <w:b/>
          <w:bCs/>
          <w:color w:val="1A1D23"/>
          <w:sz w:val="20"/>
          <w:szCs w:val="20"/>
        </w:rPr>
        <w:t xml:space="preserve">Reporting bias  </w:t>
      </w:r>
      <w:r>
        <w:rPr>
          <w:rFonts w:ascii="Calibri" w:cs="Calibri" w:eastAsia="Calibri" w:hAnsi="Calibri"/>
          <w:color w:val="1A1D23"/>
          <w:sz w:val="20"/>
          <w:szCs w:val="20"/>
        </w:rPr>
        <w:t xml:space="preserve">More FIRs can mean more crime, or simply more reporting. The fairness audit corrects for known differences in reporting rate before flagging any district.</w:t>
      </w:r>
    </w:p>
    <w:p>
      <w:pPr>
        <w:pStyle w:val="ListParagraph"/>
        <w:numPr>
          <w:ilvl w:val="0"/>
          <w:numId w:val="2"/>
        </w:numPr>
        <w:spacing w:after="90" w:line="276"/>
      </w:pPr>
      <w:r>
        <w:rPr>
          <w:rFonts w:ascii="Calibri" w:cs="Calibri" w:eastAsia="Calibri" w:hAnsi="Calibri"/>
          <w:b/>
          <w:bCs/>
          <w:color w:val="1A1D23"/>
          <w:sz w:val="20"/>
          <w:szCs w:val="20"/>
        </w:rPr>
        <w:t xml:space="preserve">Privacy  </w:t>
      </w:r>
      <w:r>
        <w:rPr>
          <w:rFonts w:ascii="Calibri" w:cs="Calibri" w:eastAsia="Calibri" w:hAnsi="Calibri"/>
          <w:color w:val="1A1D23"/>
          <w:sz w:val="20"/>
          <w:szCs w:val="20"/>
        </w:rPr>
        <w:t xml:space="preserve">Personal identifiers are hashed at ingest. Offender-level views are confined to the console, and no case-level or personal data appears on the public pages.</w:t>
      </w:r>
    </w:p>
    <w:p>
      <w:pPr>
        <w:pStyle w:val="ListParagraph"/>
        <w:numPr>
          <w:ilvl w:val="0"/>
          <w:numId w:val="2"/>
        </w:numPr>
        <w:spacing w:after="90" w:line="276"/>
      </w:pPr>
      <w:r>
        <w:rPr>
          <w:rFonts w:ascii="Calibri" w:cs="Calibri" w:eastAsia="Calibri" w:hAnsi="Calibri"/>
          <w:b/>
          <w:bCs/>
          <w:color w:val="1A1D23"/>
          <w:sz w:val="20"/>
          <w:szCs w:val="20"/>
        </w:rPr>
        <w:t xml:space="preserve">Human oversight  </w:t>
      </w:r>
      <w:r>
        <w:rPr>
          <w:rFonts w:ascii="Calibri" w:cs="Calibri" w:eastAsia="Calibri" w:hAnsi="Calibri"/>
          <w:color w:val="1A1D23"/>
          <w:sz w:val="20"/>
          <w:szCs w:val="20"/>
        </w:rPr>
        <w:t xml:space="preserve">Every recommendation is a proposal an officer accepts, edits or rejects, and that feedback is recorded against the recommendation.</w:t>
      </w:r>
    </w:p>
    <w:tbl>
      <w:tblPr>
        <w:tblW w:type="dxa" w:w="9360"/>
        <w:tblBorders>
          <w:top w:val="none" w:color="FFFFFF" w:sz="0"/>
          <w:left w:val="single" w:color="A8801F" w:sz="18"/>
          <w:bottom w:val="none" w:color="FFFFFF" w:sz="0"/>
          <w:right w:val="none" w:color="FFFFFF" w:sz="0"/>
          <w:insideH w:val="none" w:color="FFFFFF" w:sz="0"/>
          <w:insideV w:val="none" w:color="FFFFFF" w:sz="0"/>
        </w:tblBorders>
      </w:tblPr>
      <w:tblGrid>
        <w:gridCol w:w="9360"/>
      </w:tblGrid>
      <w:tr>
        <w:tc>
          <w:tcPr>
            <w:tcW w:type="dxa" w:w="9360"/>
            <w:shd w:fill="F5F2EA" w:color="auto" w:val="clear"/>
            <w:tcMar>
              <w:top w:type="dxa" w:w="160"/>
              <w:left w:type="dxa" w:w="220"/>
              <w:bottom w:type="dxa" w:w="160"/>
              <w:right w:type="dxa" w:w="200"/>
            </w:tcMar>
          </w:tcPr>
          <w:p>
            <w:pPr>
              <w:spacing w:after="70"/>
            </w:pPr>
            <w:r>
              <w:rPr>
                <w:rFonts w:ascii="Calibri" w:cs="Calibri" w:eastAsia="Calibri" w:hAnsi="Calibri"/>
                <w:b/>
                <w:bCs/>
                <w:color w:val="A8801F"/>
                <w:spacing w:val="30"/>
                <w:sz w:val="17"/>
                <w:szCs w:val="17"/>
              </w:rPr>
              <w:t xml:space="preserve">THE LINE WE DO NOT CROSS</w:t>
            </w:r>
          </w:p>
          <w:p>
            <w:pPr>
              <w:spacing w:line="288"/>
            </w:pPr>
            <w:r>
              <w:rPr>
                <w:rFonts w:ascii="Calibri" w:cs="Calibri" w:eastAsia="Calibri" w:hAnsi="Calibri"/>
                <w:color w:val="1A1D23"/>
                <w:sz w:val="21"/>
                <w:szCs w:val="21"/>
              </w:rPr>
              <w:t xml:space="preserve">PRAHARI predicts risk for areas and time windows, and analyses networks of people already on record. It does not predict crime for named individuals. There is no pre-crime score for a person anywhere in this system.</w:t>
            </w:r>
          </w:p>
        </w:tc>
      </w:tr>
    </w:tbl>
    <w:p>
      <w:pPr>
        <w:pStyle w:val="Heading1"/>
        <w:spacing w:after="60" w:before="380"/>
      </w:pPr>
      <w:r>
        <w:rPr>
          <w:rFonts w:ascii="Calibri" w:cs="Calibri" w:eastAsia="Calibri" w:hAnsi="Calibri"/>
          <w:b/>
          <w:bCs/>
          <w:color w:val="1A1D23"/>
          <w:sz w:val="30"/>
          <w:szCs w:val="30"/>
        </w:rPr>
        <w:t xml:space="preserve">8.  Known limitations</w:t>
      </w:r>
    </w:p>
    <w:p>
      <w:pPr>
        <w:spacing w:after="130" w:line="288"/>
        <w:jc w:val="both"/>
      </w:pPr>
      <w:r>
        <w:rPr>
          <w:rFonts w:ascii="Calibri" w:cs="Calibri" w:eastAsia="Calibri" w:hAnsi="Calibri"/>
          <w:color w:val="1A1D23"/>
          <w:sz w:val="21"/>
          <w:szCs w:val="21"/>
        </w:rPr>
        <w:t xml:space="preserve">Stated openly, because a system that cannot name its own limits should not be trusted with the ones it claims.</w:t>
      </w:r>
    </w:p>
    <w:p>
      <w:pPr>
        <w:pStyle w:val="ListParagraph"/>
        <w:numPr>
          <w:ilvl w:val="0"/>
          <w:numId w:val="2"/>
        </w:numPr>
        <w:spacing w:after="90" w:line="276"/>
      </w:pPr>
      <w:r>
        <w:rPr>
          <w:rFonts w:ascii="Calibri" w:cs="Calibri" w:eastAsia="Calibri" w:hAnsi="Calibri"/>
          <w:b/>
          <w:bCs/>
          <w:color w:val="1A1D23"/>
          <w:sz w:val="20"/>
          <w:szCs w:val="20"/>
        </w:rPr>
        <w:t xml:space="preserve">Geography  </w:t>
      </w:r>
      <w:r>
        <w:rPr>
          <w:rFonts w:ascii="Calibri" w:cs="Calibri" w:eastAsia="Calibri" w:hAnsi="Calibri"/>
          <w:color w:val="1A1D23"/>
          <w:sz w:val="20"/>
          <w:szCs w:val="20"/>
        </w:rPr>
        <w:t xml:space="preserve">Case coordinates are not district-faithful — every district’s median coordinate falls near Bengaluru. Location is therefore reported at police-station jurisdiction, the most granular level the data supports honestly.</w:t>
      </w:r>
    </w:p>
    <w:p>
      <w:pPr>
        <w:pStyle w:val="ListParagraph"/>
        <w:numPr>
          <w:ilvl w:val="0"/>
          <w:numId w:val="2"/>
        </w:numPr>
        <w:spacing w:after="90" w:line="276"/>
      </w:pPr>
      <w:r>
        <w:rPr>
          <w:rFonts w:ascii="Calibri" w:cs="Calibri" w:eastAsia="Calibri" w:hAnsi="Calibri"/>
          <w:b/>
          <w:bCs/>
          <w:color w:val="1A1D23"/>
          <w:sz w:val="20"/>
          <w:szCs w:val="20"/>
        </w:rPr>
        <w:t xml:space="preserve">Identity  </w:t>
      </w:r>
      <w:r>
        <w:rPr>
          <w:rFonts w:ascii="Calibri" w:cs="Calibri" w:eastAsia="Calibri" w:hAnsi="Calibri"/>
          <w:color w:val="1A1D23"/>
          <w:sz w:val="20"/>
          <w:szCs w:val="20"/>
        </w:rPr>
        <w:t xml:space="preserve">PersonID is a within-case ordinal, not a cross-case identity. All offender linkage uses OffenderID instead.</w:t>
      </w:r>
    </w:p>
    <w:p>
      <w:pPr>
        <w:pStyle w:val="ListParagraph"/>
        <w:numPr>
          <w:ilvl w:val="0"/>
          <w:numId w:val="2"/>
        </w:numPr>
        <w:spacing w:after="90" w:line="276"/>
      </w:pPr>
      <w:r>
        <w:rPr>
          <w:rFonts w:ascii="Calibri" w:cs="Calibri" w:eastAsia="Calibri" w:hAnsi="Calibri"/>
          <w:b/>
          <w:bCs/>
          <w:color w:val="1A1D23"/>
          <w:sz w:val="20"/>
          <w:szCs w:val="20"/>
        </w:rPr>
        <w:t xml:space="preserve">Timestamps  </w:t>
      </w:r>
      <w:r>
        <w:rPr>
          <w:rFonts w:ascii="Calibri" w:cs="Calibri" w:eastAsia="Calibri" w:hAnsi="Calibri"/>
          <w:color w:val="1A1D23"/>
          <w:sz w:val="20"/>
          <w:szCs w:val="20"/>
        </w:rPr>
        <w:t xml:space="preserve">CrimeRegisteredDate carries no time component, so all temporal analysis uses IncidentFromDate.</w:t>
      </w:r>
    </w:p>
    <w:p>
      <w:pPr>
        <w:pStyle w:val="ListParagraph"/>
        <w:numPr>
          <w:ilvl w:val="0"/>
          <w:numId w:val="2"/>
        </w:numPr>
        <w:spacing w:after="90" w:line="276"/>
      </w:pPr>
      <w:r>
        <w:rPr>
          <w:rFonts w:ascii="Calibri" w:cs="Calibri" w:eastAsia="Calibri" w:hAnsi="Calibri"/>
          <w:b/>
          <w:bCs/>
          <w:color w:val="1A1D23"/>
          <w:sz w:val="20"/>
          <w:szCs w:val="20"/>
        </w:rPr>
        <w:t xml:space="preserve">Outcomes  </w:t>
      </w:r>
      <w:r>
        <w:rPr>
          <w:rFonts w:ascii="Calibri" w:cs="Calibri" w:eastAsia="Calibri" w:hAnsi="Calibri"/>
          <w:color w:val="1A1D23"/>
          <w:sz w:val="20"/>
          <w:szCs w:val="20"/>
        </w:rPr>
        <w:t xml:space="preserve">CaseStatusID has a single value across the dataset, so case outcomes cannot be modelled.</w:t>
      </w:r>
    </w:p>
    <w:p>
      <w:pPr>
        <w:pStyle w:val="ListParagraph"/>
        <w:numPr>
          <w:ilvl w:val="0"/>
          <w:numId w:val="2"/>
        </w:numPr>
        <w:spacing w:after="90" w:line="276"/>
      </w:pPr>
      <w:r>
        <w:rPr>
          <w:rFonts w:ascii="Calibri" w:cs="Calibri" w:eastAsia="Calibri" w:hAnsi="Calibri"/>
          <w:b/>
          <w:bCs/>
          <w:color w:val="1A1D23"/>
          <w:sz w:val="20"/>
          <w:szCs w:val="20"/>
        </w:rPr>
        <w:t xml:space="preserve">Coverage  </w:t>
      </w:r>
      <w:r>
        <w:rPr>
          <w:rFonts w:ascii="Calibri" w:cs="Calibri" w:eastAsia="Calibri" w:hAnsi="Calibri"/>
          <w:color w:val="1A1D23"/>
          <w:sz w:val="20"/>
          <w:szCs w:val="20"/>
        </w:rPr>
        <w:t xml:space="preserve">The dataset covers Karnataka only; there is no state dimension to generalise across.</w:t>
      </w:r>
    </w:p>
    <w:p>
      <w:pPr>
        <w:pStyle w:val="Heading1"/>
        <w:spacing w:after="60" w:before="380"/>
      </w:pPr>
      <w:r>
        <w:rPr>
          <w:rFonts w:ascii="Calibri" w:cs="Calibri" w:eastAsia="Calibri" w:hAnsi="Calibri"/>
          <w:b/>
          <w:bCs/>
          <w:color w:val="1A1D23"/>
          <w:sz w:val="30"/>
          <w:szCs w:val="30"/>
        </w:rPr>
        <w:t xml:space="preserve">9.  Running the project</w:t>
      </w:r>
    </w:p>
    <w:p>
      <w:pPr>
        <w:pStyle w:val="Heading2"/>
        <w:spacing w:after="90" w:before="260"/>
      </w:pPr>
      <w:r>
        <w:rPr>
          <w:rFonts w:ascii="Calibri" w:cs="Calibri" w:eastAsia="Calibri" w:hAnsi="Calibri"/>
          <w:b/>
          <w:bCs/>
          <w:color w:val="1A1D23"/>
          <w:sz w:val="24"/>
          <w:szCs w:val="24"/>
        </w:rPr>
        <w:t xml:space="preserve">Frontend</w:t>
      </w:r>
    </w:p>
    <w:p>
      <w:pPr>
        <w:spacing w:after="130" w:line="288"/>
        <w:jc w:val="both"/>
      </w:pPr>
      <w:r>
        <w:rPr>
          <w:rFonts w:ascii="Calibri" w:cs="Calibri" w:eastAsia="Calibri" w:hAnsi="Calibri"/>
          <w:color w:val="1A1D23"/>
          <w:sz w:val="21"/>
          <w:szCs w:val="21"/>
        </w:rPr>
        <w:t xml:space="preserve">Clone the repository, then install and start. All analytics are precomputed and committed, so the interface runs without executing the Python pipeline.</w:t>
      </w:r>
    </w:p>
    <w:p>
      <w:pPr>
        <w:spacing w:after="140"/>
      </w:pPr>
      <w:r>
        <w:rPr>
          <w:rFonts w:ascii="Consolas" w:cs="Consolas" w:eastAsia="Consolas" w:hAnsi="Consolas"/>
          <w:color w:val="A8801F"/>
          <w:sz w:val="19"/>
          <w:szCs w:val="19"/>
        </w:rPr>
        <w:t xml:space="preserve">cd frontend  →  npm install  →  npm run dev</w:t>
      </w:r>
    </w:p>
    <w:p>
      <w:pPr>
        <w:pStyle w:val="Heading2"/>
        <w:spacing w:after="90" w:before="260"/>
      </w:pPr>
      <w:r>
        <w:rPr>
          <w:rFonts w:ascii="Calibri" w:cs="Calibri" w:eastAsia="Calibri" w:hAnsi="Calibri"/>
          <w:b/>
          <w:bCs/>
          <w:color w:val="1A1D23"/>
          <w:sz w:val="24"/>
          <w:szCs w:val="24"/>
        </w:rPr>
        <w:t xml:space="preserve">Analytics pipeline (optional)</w:t>
      </w:r>
    </w:p>
    <w:p>
      <w:pPr>
        <w:spacing w:after="130" w:line="288"/>
        <w:jc w:val="both"/>
      </w:pPr>
      <w:r>
        <w:rPr>
          <w:rFonts w:ascii="Calibri" w:cs="Calibri" w:eastAsia="Calibri" w:hAnsi="Calibri"/>
          <w:color w:val="1A1D23"/>
          <w:sz w:val="21"/>
          <w:szCs w:val="21"/>
        </w:rPr>
        <w:t xml:space="preserve">Regenerating the analytics takes roughly twenty minutes and requires the source dataset. The three post-processing scripts are not optional if the pipeline is re-run: they convert map files to a form the host will compress, strip cells the interface discards at render, and merge the patrol scenarios into a single artefact.</w:t>
      </w:r>
    </w:p>
    <w:p>
      <w:pPr>
        <w:spacing w:after="140"/>
      </w:pPr>
      <w:r>
        <w:rPr>
          <w:rFonts w:ascii="Consolas" w:cs="Consolas" w:eastAsia="Consolas" w:hAnsi="Consolas"/>
          <w:color w:val="A8801F"/>
          <w:sz w:val="19"/>
          <w:szCs w:val="19"/>
        </w:rPr>
        <w:t xml:space="preserve">python main.py  →  copy_data.py  →  optimize_geojson.py  →  strip_insignificant.py  →  bundle_patrol.py</w:t>
      </w:r>
    </w:p>
    <w:p>
      <w:pPr>
        <w:pStyle w:val="Heading1"/>
        <w:spacing w:after="60" w:before="380"/>
      </w:pPr>
      <w:r>
        <w:rPr>
          <w:rFonts w:ascii="Calibri" w:cs="Calibri" w:eastAsia="Calibri" w:hAnsi="Calibri"/>
          <w:b/>
          <w:bCs/>
          <w:color w:val="1A1D23"/>
          <w:sz w:val="30"/>
          <w:szCs w:val="30"/>
        </w:rPr>
        <w:t xml:space="preserve">10.  Future development</w:t>
      </w:r>
    </w:p>
    <w:p>
      <w:pPr>
        <w:pStyle w:val="ListParagraph"/>
        <w:numPr>
          <w:ilvl w:val="0"/>
          <w:numId w:val="2"/>
        </w:numPr>
        <w:spacing w:after="90" w:line="276"/>
      </w:pPr>
      <w:r>
        <w:rPr>
          <w:rFonts w:ascii="Calibri" w:cs="Calibri" w:eastAsia="Calibri" w:hAnsi="Calibri"/>
          <w:color w:val="1A1D23"/>
          <w:sz w:val="20"/>
          <w:szCs w:val="20"/>
        </w:rPr>
        <w:t xml:space="preserve">Ask Prahari — natural-language querying over the analytics layer, already specified and scoped.</w:t>
      </w:r>
    </w:p>
    <w:p>
      <w:pPr>
        <w:pStyle w:val="ListParagraph"/>
        <w:numPr>
          <w:ilvl w:val="0"/>
          <w:numId w:val="2"/>
        </w:numPr>
        <w:spacing w:after="90" w:line="276"/>
      </w:pPr>
      <w:r>
        <w:rPr>
          <w:rFonts w:ascii="Calibri" w:cs="Calibri" w:eastAsia="Calibri" w:hAnsi="Calibri"/>
          <w:color w:val="1A1D23"/>
          <w:sz w:val="20"/>
          <w:szCs w:val="20"/>
        </w:rPr>
        <w:t xml:space="preserve">Complete the Catalyst integration: Functions for the query API, Data Store for normalised tables, Cron for nightly recomputation.</w:t>
      </w:r>
    </w:p>
    <w:p>
      <w:pPr>
        <w:pStyle w:val="ListParagraph"/>
        <w:numPr>
          <w:ilvl w:val="0"/>
          <w:numId w:val="2"/>
        </w:numPr>
        <w:spacing w:after="90" w:line="276"/>
      </w:pPr>
      <w:r>
        <w:rPr>
          <w:rFonts w:ascii="Calibri" w:cs="Calibri" w:eastAsia="Calibri" w:hAnsi="Calibri"/>
          <w:color w:val="1A1D23"/>
          <w:sz w:val="20"/>
          <w:szCs w:val="20"/>
        </w:rPr>
        <w:t xml:space="preserve">Live CCTNS ingestion in place of a static dataset export, so the console reflects the current operational picture.</w:t>
      </w:r>
    </w:p>
    <w:p>
      <w:pPr>
        <w:pStyle w:val="ListParagraph"/>
        <w:numPr>
          <w:ilvl w:val="0"/>
          <w:numId w:val="2"/>
        </w:numPr>
        <w:spacing w:after="90" w:line="276"/>
      </w:pPr>
      <w:r>
        <w:rPr>
          <w:rFonts w:ascii="Calibri" w:cs="Calibri" w:eastAsia="Calibri" w:hAnsi="Calibri"/>
          <w:color w:val="1A1D23"/>
          <w:sz w:val="20"/>
          <w:szCs w:val="20"/>
        </w:rPr>
        <w:t xml:space="preserve">Officer feedback loop feeding back into model retraining, closing the human-in-the-loop cycle.</w:t>
      </w:r>
    </w:p>
    <w:p>
      <w:pPr>
        <w:pStyle w:val="ListParagraph"/>
        <w:numPr>
          <w:ilvl w:val="0"/>
          <w:numId w:val="2"/>
        </w:numPr>
        <w:spacing w:after="90" w:line="276"/>
      </w:pPr>
      <w:r>
        <w:rPr>
          <w:rFonts w:ascii="Calibri" w:cs="Calibri" w:eastAsia="Calibri" w:hAnsi="Calibri"/>
          <w:color w:val="1A1D23"/>
          <w:sz w:val="20"/>
          <w:szCs w:val="20"/>
        </w:rPr>
        <w:t xml:space="preserve">Extend the patrol optimizer to multi-shift scheduling and heterogeneous unit types.</w:t>
      </w:r>
    </w:p>
    <w:p>
      <w:pPr>
        <w:pBdr>
          <w:bottom w:val="single" w:color="A8801F" w:sz="8"/>
        </w:pBdr>
        <w:spacing w:after="200" w:before="40"/>
      </w:pPr>
      <w:r>
        <w:rPr>
          <w:sz w:val="2"/>
          <w:szCs w:val="2"/>
        </w:rPr>
        <w:t xml:space="preserve"/>
      </w:r>
    </w:p>
    <w:p>
      <w:pPr>
        <w:spacing w:after="120" w:line="264"/>
      </w:pPr>
      <w:r>
        <w:rPr>
          <w:rFonts w:ascii="Calibri" w:cs="Calibri" w:eastAsia="Calibri" w:hAnsi="Calibri"/>
          <w:i/>
          <w:iCs/>
          <w:color w:val="5A6270"/>
          <w:sz w:val="18"/>
          <w:szCs w:val="18"/>
        </w:rPr>
        <w:t xml:space="preserve">PRAHARI · ಪ್ರಹರಿ — the sentinel. KSP Datathon 2026, Challenge 02.</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PRAHARI — Project Overview</dc:title>
  <dc:creator>PRAHARI team</dc:creator>
  <dc:description>KSP Datathon 2026, Challenge 02 — crime analytics platform for Karnataka State Police</dc:description>
  <cp:lastModifiedBy>Un-named</cp:lastModifiedBy>
  <cp:revision>1</cp:revision>
  <dcterms:created xsi:type="dcterms:W3CDTF">2026-07-25T11:57:32.854Z</dcterms:created>
  <dcterms:modified xsi:type="dcterms:W3CDTF">2026-07-25T11:57:32.855Z</dcterms:modified>
</cp:coreProperties>
</file>

<file path=docProps/custom.xml><?xml version="1.0" encoding="utf-8"?>
<Properties xmlns="http://schemas.openxmlformats.org/officeDocument/2006/custom-properties" xmlns:vt="http://schemas.openxmlformats.org/officeDocument/2006/docPropsVTypes"/>
</file>