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D23"/>
          <w:sz w:val="40"/>
          <w:szCs w:val="40"/>
        </w:rPr>
        <w:t xml:space="preserve">PRAHARI  ಪ್ರಹರಿ</w:t>
      </w:r>
    </w:p>
    <w:p>
      <w:pPr>
        <w:spacing w:after="40"/>
      </w:pPr>
      <w:r>
        <w:rPr>
          <w:rFonts w:ascii="Calibri" w:cs="Calibri" w:eastAsia="Calibri" w:hAnsi="Calibri"/>
          <w:b/>
          <w:bCs/>
          <w:color w:val="B8860B"/>
          <w:spacing w:val="40"/>
          <w:sz w:val="24"/>
          <w:szCs w:val="24"/>
        </w:rPr>
        <w:t xml:space="preserve">3-MINUTE DEMO VIDEO SCRIPT</w:t>
      </w:r>
    </w:p>
    <w:p>
      <w:pPr>
        <w:spacing w:after="200"/>
      </w:pPr>
      <w:r>
        <w:rPr>
          <w:rFonts w:ascii="Calibri" w:cs="Calibri" w:eastAsia="Calibri" w:hAnsi="Calibri"/>
          <w:color w:val="5A6270"/>
          <w:sz w:val="19"/>
          <w:szCs w:val="19"/>
        </w:rPr>
        <w:t xml:space="preserve">KSP Datathon 2026 · Challenge 02 · approx. 450 spoken words</w:t>
      </w:r>
    </w:p>
    <w:p>
      <w:pPr>
        <w:pBdr>
          <w:bottom w:val="single" w:color="D5DAE0" w:sz="6"/>
        </w:pBdr>
        <w:spacing w:after="160" w:before="60"/>
      </w:pPr>
      <w:r>
        <w:rPr>
          <w:sz w:val="2"/>
          <w:szCs w:val="2"/>
        </w:rPr>
        <w:t xml:space="preserve"/>
      </w:r>
    </w:p>
    <w:p>
      <w:pPr>
        <w:spacing w:after="120" w:line="276"/>
      </w:pPr>
      <w:r>
        <w:rPr>
          <w:rFonts w:ascii="Calibri" w:cs="Calibri" w:eastAsia="Calibri" w:hAnsi="Calibri"/>
          <w:color w:val="1A1D23"/>
          <w:sz w:val="21"/>
          <w:szCs w:val="21"/>
        </w:rPr>
        <w:t xml:space="preserve">Times are cumulative. Every figure quoted below is read from the live build and traces to outputs/evaluate/benchmark_report.json.</w:t>
      </w:r>
    </w:p>
    <w:p>
      <w:pPr>
        <w:pStyle w:val="Heading1"/>
        <w:spacing w:after="140" w:before="320"/>
      </w:pPr>
      <w:r>
        <w:rPr>
          <w:rFonts w:ascii="Calibri" w:cs="Calibri" w:eastAsia="Calibri" w:hAnsi="Calibri"/>
          <w:b/>
          <w:bCs/>
          <w:color w:val="1A1D23"/>
          <w:sz w:val="30"/>
          <w:szCs w:val="30"/>
        </w:rPr>
        <w:t xml:space="preserve">The script</w:t>
      </w:r>
    </w:p>
    <w:p>
      <w:pPr>
        <w:spacing w:after="100" w:before="40"/>
      </w:pPr>
      <w:r>
        <w:rPr>
          <w:rFonts w:ascii="Consolas" w:cs="Consolas" w:eastAsia="Consolas" w:hAnsi="Consolas"/>
          <w:b/>
          <w:bCs/>
          <w:color w:val="B8860B"/>
          <w:sz w:val="20"/>
          <w:szCs w:val="20"/>
        </w:rPr>
        <w:t xml:space="preserve">0:00 – 0:20</w:t>
      </w:r>
      <w:r>
        <w:rPr>
          <w:rFonts w:ascii="Calibri" w:cs="Calibri" w:eastAsia="Calibri" w:hAnsi="Calibri"/>
          <w:b/>
          <w:bCs/>
          <w:color w:val="1A1D23"/>
          <w:sz w:val="22"/>
          <w:szCs w:val="22"/>
        </w:rPr>
        <w:t xml:space="preserve">   THE PROBLEM</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Landing page hero. The Karnataka wireframe draws itself and the hotspot cells ignite.</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“Karnataka Police record every FIR meticulously — 1.67 million of them between 2016 and 2024. But that data sits in tables, not in the hands of the officer deciding where tonight’s patrol goes. PRAHARI closes that gap. It is a crime intelligence platform built on the KSP dataset, and it runs on Zoho Catalyst.”</w:t>
            </w:r>
          </w:p>
        </w:tc>
      </w:tr>
    </w:tbl>
    <w:p>
      <w:pPr>
        <w:spacing w:after="100" w:before="300"/>
      </w:pPr>
      <w:r>
        <w:rPr>
          <w:rFonts w:ascii="Consolas" w:cs="Consolas" w:eastAsia="Consolas" w:hAnsi="Consolas"/>
          <w:b/>
          <w:bCs/>
          <w:color w:val="B8860B"/>
          <w:sz w:val="20"/>
          <w:szCs w:val="20"/>
        </w:rPr>
        <w:t xml:space="preserve">0:20 – 0:35</w:t>
      </w:r>
      <w:r>
        <w:rPr>
          <w:rFonts w:ascii="Calibri" w:cs="Calibri" w:eastAsia="Calibri" w:hAnsi="Calibri"/>
          <w:b/>
          <w:bCs/>
          <w:color w:val="1A1D23"/>
          <w:sz w:val="22"/>
          <w:szCs w:val="22"/>
        </w:rPr>
        <w:t xml:space="preserve">   WHAT IT IS</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Scroll to the four-layer pipeline section. Then click ENTER CONSOLE.</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“Four layers. Sense where crime is clustering. Predict what is coming. Act on it. And trust it — because every recommendation explains itself.”</w:t>
            </w:r>
          </w:p>
        </w:tc>
      </w:tr>
    </w:tbl>
    <w:p>
      <w:pPr>
        <w:spacing w:after="60" w:before="100"/>
      </w:pPr>
      <w:r>
        <w:rPr>
          <w:rFonts w:ascii="Calibri" w:cs="Calibri" w:eastAsia="Calibri" w:hAnsi="Calibri"/>
          <w:b/>
          <w:bCs/>
          <w:color w:val="B8860B"/>
          <w:sz w:val="17"/>
          <w:szCs w:val="17"/>
        </w:rPr>
        <w:t xml:space="preserve">Note   </w:t>
      </w:r>
      <w:r>
        <w:rPr>
          <w:rFonts w:ascii="Calibri" w:cs="Calibri" w:eastAsia="Calibri" w:hAnsi="Calibri"/>
          <w:i/>
          <w:iCs/>
          <w:color w:val="5A6270"/>
          <w:sz w:val="18"/>
          <w:szCs w:val="18"/>
        </w:rPr>
        <w:t xml:space="preserve">The loading splash plays here. Let it breathe — it is a good beat to pause on.</w:t>
      </w:r>
    </w:p>
    <w:p>
      <w:pPr>
        <w:spacing w:after="100" w:before="300"/>
      </w:pPr>
      <w:r>
        <w:rPr>
          <w:rFonts w:ascii="Consolas" w:cs="Consolas" w:eastAsia="Consolas" w:hAnsi="Consolas"/>
          <w:b/>
          <w:bCs/>
          <w:color w:val="B8860B"/>
          <w:sz w:val="20"/>
          <w:szCs w:val="20"/>
        </w:rPr>
        <w:t xml:space="preserve">0:35 – 1:05</w:t>
      </w:r>
      <w:r>
        <w:rPr>
          <w:rFonts w:ascii="Calibri" w:cs="Calibri" w:eastAsia="Calibri" w:hAnsi="Calibri"/>
          <w:b/>
          <w:bCs/>
          <w:color w:val="1A1D23"/>
          <w:sz w:val="22"/>
          <w:szCs w:val="22"/>
        </w:rPr>
        <w:t xml:space="preserve">   SENSE — WHERE CRIME ACTUALLY CLUSTERS</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SENSE tab. Point at the Gi* significance legend, then click a district to trigger the zoom-in.</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“This is not a heatmap. These are Getis-Ord Gi-star hotspots at p less than 0.05 — 722 statistically significant cells out of 16,650 analysed. A merely busy area and a genuinely hot one look different here. Click any district and you drill into it: top crimes, which stations are generating them, and the offenders most active in that jurisdiction.”</w:t>
            </w:r>
          </w:p>
        </w:tc>
      </w:tr>
    </w:tbl>
    <w:p>
      <w:pPr>
        <w:spacing w:after="100" w:before="300"/>
      </w:pPr>
      <w:r>
        <w:rPr>
          <w:rFonts w:ascii="Consolas" w:cs="Consolas" w:eastAsia="Consolas" w:hAnsi="Consolas"/>
          <w:b/>
          <w:bCs/>
          <w:color w:val="B8860B"/>
          <w:sz w:val="20"/>
          <w:szCs w:val="20"/>
        </w:rPr>
        <w:t xml:space="preserve">1:05 – 1:40</w:t>
      </w:r>
      <w:r>
        <w:rPr>
          <w:rFonts w:ascii="Calibri" w:cs="Calibri" w:eastAsia="Calibri" w:hAnsi="Calibri"/>
          <w:b/>
          <w:bCs/>
          <w:color w:val="1A1D23"/>
          <w:sz w:val="22"/>
          <w:szCs w:val="22"/>
        </w:rPr>
        <w:t xml:space="preserve">   PREDICT — WHAT IS LIKELY NEXT</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PREDICT tab, risk forecast map. Then switch to Crime Network.</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“PREDICT scores next-week risk for every cell using LightGBM with near-repeat features — crime is self-exciting, a burglary raises the odds of another nearby within days. Test AUC is 0.847 on a held-out temporal split. More usefully: 53 percent of crime falls inside the 5 percent of area the model flags. Below that, a co-offending network — 341,000 offenders, half a million links, clustered into communities, so you can see which group to disrupt first.”</w:t>
            </w:r>
          </w:p>
        </w:tc>
      </w:tr>
    </w:tbl>
    <w:p>
      <w:pPr>
        <w:spacing w:after="100" w:before="300"/>
      </w:pPr>
      <w:r>
        <w:rPr>
          <w:rFonts w:ascii="Consolas" w:cs="Consolas" w:eastAsia="Consolas" w:hAnsi="Consolas"/>
          <w:b/>
          <w:bCs/>
          <w:color w:val="B8860B"/>
          <w:sz w:val="20"/>
          <w:szCs w:val="20"/>
        </w:rPr>
        <w:t xml:space="preserve">1:40 – 2:15</w:t>
      </w:r>
      <w:r>
        <w:rPr>
          <w:rFonts w:ascii="Calibri" w:cs="Calibri" w:eastAsia="Calibri" w:hAnsi="Calibri"/>
          <w:b/>
          <w:bCs/>
          <w:color w:val="1A1D23"/>
          <w:sz w:val="22"/>
          <w:szCs w:val="22"/>
        </w:rPr>
        <w:t xml:space="preserve">   ACT — THE HEADLINE</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ACT tab. Change the district, then change the unit count. Open the printable briefing sheet.</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“Knowing where risk is high does not tell you where to park six vehicles. That is a maximal-coverage problem, and we solve it as an integer program. Status quo — units at the highest-volume stations — covers 9.87 percent of predicted crime. PRAHARI covers 11.67 percent with the same number of units. An 18 percent improvement for zero extra cost. And it prints. That is a briefing sheet a station house officer can hand out at shift change.”</w:t>
            </w:r>
          </w:p>
        </w:tc>
      </w:tr>
    </w:tbl>
    <w:p>
      <w:pPr>
        <w:spacing w:after="60" w:before="100"/>
      </w:pPr>
      <w:r>
        <w:rPr>
          <w:rFonts w:ascii="Calibri" w:cs="Calibri" w:eastAsia="Calibri" w:hAnsi="Calibri"/>
          <w:b/>
          <w:bCs/>
          <w:color w:val="B8860B"/>
          <w:sz w:val="17"/>
          <w:szCs w:val="17"/>
        </w:rPr>
        <w:t xml:space="preserve">Note   </w:t>
      </w:r>
      <w:r>
        <w:rPr>
          <w:rFonts w:ascii="Calibri" w:cs="Calibri" w:eastAsia="Calibri" w:hAnsi="Calibri"/>
          <w:i/>
          <w:iCs/>
          <w:color w:val="5A6270"/>
          <w:sz w:val="18"/>
          <w:szCs w:val="18"/>
        </w:rPr>
        <w:t xml:space="preserve">Strongest claim in the video. Rehearse this beat most — it is the one judges will probe.</w:t>
      </w:r>
    </w:p>
    <w:p>
      <w:pPr>
        <w:spacing w:after="100" w:before="300"/>
      </w:pPr>
      <w:r>
        <w:rPr>
          <w:rFonts w:ascii="Consolas" w:cs="Consolas" w:eastAsia="Consolas" w:hAnsi="Consolas"/>
          <w:b/>
          <w:bCs/>
          <w:color w:val="B8860B"/>
          <w:sz w:val="20"/>
          <w:szCs w:val="20"/>
        </w:rPr>
        <w:t xml:space="preserve">2:15 – 2:40</w:t>
      </w:r>
      <w:r>
        <w:rPr>
          <w:rFonts w:ascii="Calibri" w:cs="Calibri" w:eastAsia="Calibri" w:hAnsi="Calibri"/>
          <w:b/>
          <w:bCs/>
          <w:color w:val="1A1D23"/>
          <w:sz w:val="22"/>
          <w:szCs w:val="22"/>
        </w:rPr>
        <w:t xml:space="preserve">   TRUST — AND THE LINE WE DO NOT CROSS</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TRUST tab. Reliability diagram, SHAP attributions, fairness panel.</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“Every score is explainable. SHAP attributions per prediction, a calibration curve, and a fairness audit that adjusts for reporting bias before it flags a district — Gini 0.183. And a line we do not cross: PRAHARI predicts risk for areas and time windows. It never predicts crime for a named individual. There is no pre-crime score for a person anywhere in this system.”</w:t>
            </w:r>
          </w:p>
        </w:tc>
      </w:tr>
    </w:tbl>
    <w:p>
      <w:pPr>
        <w:spacing w:after="100" w:before="300"/>
      </w:pPr>
      <w:r>
        <w:rPr>
          <w:rFonts w:ascii="Consolas" w:cs="Consolas" w:eastAsia="Consolas" w:hAnsi="Consolas"/>
          <w:b/>
          <w:bCs/>
          <w:color w:val="B8860B"/>
          <w:sz w:val="20"/>
          <w:szCs w:val="20"/>
        </w:rPr>
        <w:t xml:space="preserve">2:40 – 3:00</w:t>
      </w:r>
      <w:r>
        <w:rPr>
          <w:rFonts w:ascii="Calibri" w:cs="Calibri" w:eastAsia="Calibri" w:hAnsi="Calibri"/>
          <w:b/>
          <w:bCs/>
          <w:color w:val="1A1D23"/>
          <w:sz w:val="22"/>
          <w:szCs w:val="22"/>
        </w:rPr>
        <w:t xml:space="preserve">   STACK AND CLOSE</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500"/>
        <w:gridCol w:w="7860"/>
      </w:tblGrid>
      <w:tr>
        <w:tc>
          <w:tcPr>
            <w:tcW w:type="dxa" w:w="1500"/>
            <w:tcMar>
              <w:top w:type="dxa" w:w="90"/>
              <w:left w:type="dxa" w:w="120"/>
              <w:bottom w:type="dxa" w:w="90"/>
              <w:right w:type="dxa" w:w="120"/>
            </w:tcMar>
          </w:tcPr>
          <w:p>
            <w:r>
              <w:rPr>
                <w:rFonts w:ascii="Calibri" w:cs="Calibri" w:eastAsia="Calibri" w:hAnsi="Calibri"/>
                <w:b/>
                <w:bCs/>
                <w:color w:val="5A6270"/>
                <w:sz w:val="16"/>
                <w:szCs w:val="16"/>
              </w:rPr>
              <w:t xml:space="preserve">ON SCREEN</w:t>
            </w:r>
          </w:p>
        </w:tc>
        <w:tc>
          <w:tcPr>
            <w:tcW w:type="dxa" w:w="7860"/>
            <w:tcMar>
              <w:top w:type="dxa" w:w="90"/>
              <w:left w:type="dxa" w:w="120"/>
              <w:bottom w:type="dxa" w:w="90"/>
              <w:right w:type="dxa" w:w="120"/>
            </w:tcMar>
          </w:tcPr>
          <w:p>
            <w:r>
              <w:rPr>
                <w:rFonts w:ascii="Calibri" w:cs="Calibri" w:eastAsia="Calibri" w:hAnsi="Calibri"/>
                <w:i/>
                <w:iCs/>
                <w:color w:val="1A1D23"/>
                <w:sz w:val="20"/>
                <w:szCs w:val="20"/>
              </w:rPr>
              <w:t xml:space="preserve">Navigate to the Stack page (#/stack) showing the Catalyst services table.</w:t>
            </w:r>
          </w:p>
        </w:tc>
      </w:tr>
      <w:tr>
        <w:tc>
          <w:tcPr>
            <w:tcW w:type="dxa" w:w="1500"/>
            <w:tcMar>
              <w:top w:type="dxa" w:w="90"/>
              <w:left w:type="dxa" w:w="120"/>
              <w:bottom w:type="dxa" w:w="90"/>
              <w:right w:type="dxa" w:w="120"/>
            </w:tcMar>
          </w:tcPr>
          <w:p>
            <w:r>
              <w:rPr>
                <w:rFonts w:ascii="Calibri" w:cs="Calibri" w:eastAsia="Calibri" w:hAnsi="Calibri"/>
                <w:b/>
                <w:bCs/>
                <w:color w:val="B8860B"/>
                <w:sz w:val="16"/>
                <w:szCs w:val="16"/>
              </w:rPr>
              <w:t xml:space="preserve">SAY</w:t>
            </w:r>
          </w:p>
        </w:tc>
        <w:tc>
          <w:tcPr>
            <w:tcW w:type="dxa" w:w="7860"/>
            <w:tcMar>
              <w:top w:type="dxa" w:w="90"/>
              <w:left w:type="dxa" w:w="120"/>
              <w:bottom w:type="dxa" w:w="90"/>
              <w:right w:type="dxa" w:w="120"/>
            </w:tcMar>
          </w:tcPr>
          <w:p>
            <w:pPr>
              <w:spacing w:line="300"/>
            </w:pPr>
            <w:r>
              <w:rPr>
                <w:rFonts w:ascii="Calibri" w:cs="Calibri" w:eastAsia="Calibri" w:hAnsi="Calibri"/>
                <w:color w:val="1A1D23"/>
                <w:sz w:val="22"/>
                <w:szCs w:val="22"/>
              </w:rPr>
              <w:t xml:space="preserve">“Python for the analytics — pandas, LightGBM, libpysal, networkx, OR-Tools. React, TypeScript, MapLibre and deck.gl on the front end. The whole pipeline reproduces from raw data in one command. It is deployed on Zoho Catalyst Hosting, with Functions, Data Store, Stratus and Cron mapped for the nightly recompute. PRAHARI. The sentinel.”</w:t>
            </w:r>
          </w:p>
        </w:tc>
      </w:tr>
    </w:tbl>
    <w:p>
      <w:r>
        <w:br w:type="page"/>
      </w:r>
    </w:p>
    <w:p>
      <w:pPr>
        <w:pStyle w:val="Heading1"/>
        <w:spacing w:after="140" w:before="320"/>
      </w:pPr>
      <w:r>
        <w:rPr>
          <w:rFonts w:ascii="Calibri" w:cs="Calibri" w:eastAsia="Calibri" w:hAnsi="Calibri"/>
          <w:b/>
          <w:bCs/>
          <w:color w:val="1A1D23"/>
          <w:sz w:val="30"/>
          <w:szCs w:val="30"/>
        </w:rPr>
        <w:t xml:space="preserve">Reference content</w:t>
      </w:r>
    </w:p>
    <w:p>
      <w:pPr>
        <w:spacing w:after="100"/>
      </w:pPr>
      <w:r>
        <w:rPr>
          <w:rFonts w:ascii="Calibri" w:cs="Calibri" w:eastAsia="Calibri" w:hAnsi="Calibri"/>
          <w:i/>
          <w:iCs/>
          <w:color w:val="5A6270"/>
          <w:sz w:val="18"/>
          <w:szCs w:val="18"/>
        </w:rPr>
        <w:t xml:space="preserve">Background for the narrator, and source material for the written submission fields.</w:t>
      </w:r>
    </w:p>
    <w:p>
      <w:pPr>
        <w:spacing w:after="100" w:before="260"/>
      </w:pPr>
      <w:r>
        <w:rPr>
          <w:rFonts w:ascii="Calibri" w:cs="Calibri" w:eastAsia="Calibri" w:hAnsi="Calibri"/>
          <w:b/>
          <w:bCs/>
          <w:color w:val="1A1D23"/>
          <w:sz w:val="24"/>
          <w:szCs w:val="24"/>
        </w:rPr>
        <w:t xml:space="preserve">What PRAHARI is</w:t>
      </w:r>
    </w:p>
    <w:p>
      <w:pPr>
        <w:spacing w:after="120" w:line="276"/>
      </w:pPr>
      <w:r>
        <w:rPr>
          <w:rFonts w:ascii="Calibri" w:cs="Calibri" w:eastAsia="Calibri" w:hAnsi="Calibri"/>
          <w:color w:val="1A1D23"/>
          <w:sz w:val="21"/>
          <w:szCs w:val="21"/>
        </w:rPr>
        <w:t xml:space="preserve">PRAHARI (ಪ್ರಹರಿ, "the sentinel") is an AI-driven crime analytics and visualisation platform built on the Karnataka State Police FIR dataset. It converts 1,674,732 records spanning 2016 to 2024, across all 41 districts and 1,074 police stations, into decisions an officer can act on within a shift: where crime is statistically clustering, what is likely next week, and exactly where to send the patrol. Heavy analytics run offline and are served as cached artefacts, so the console stays responsive on station hardware.</w:t>
      </w:r>
    </w:p>
    <w:p>
      <w:pPr>
        <w:spacing w:after="100" w:before="260"/>
      </w:pPr>
      <w:r>
        <w:rPr>
          <w:rFonts w:ascii="Calibri" w:cs="Calibri" w:eastAsia="Calibri" w:hAnsi="Calibri"/>
          <w:b/>
          <w:bCs/>
          <w:color w:val="1A1D23"/>
          <w:sz w:val="24"/>
          <w:szCs w:val="24"/>
        </w:rPr>
        <w:t xml:space="preserve">Architecture — four layers</w:t>
      </w:r>
    </w:p>
    <w:p>
      <w:pPr>
        <w:spacing w:after="120" w:line="276"/>
      </w:pPr>
      <w:r>
        <w:rPr>
          <w:rFonts w:ascii="Calibri" w:cs="Calibri" w:eastAsia="Calibri" w:hAnsi="Calibri"/>
          <w:color w:val="1A1D23"/>
          <w:sz w:val="21"/>
          <w:szCs w:val="21"/>
        </w:rPr>
        <w:t xml:space="preserve">The design principle is that every screen ends in a decision or an action, and every recommendation can explain itself.</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700"/>
        <w:gridCol w:w="7660"/>
      </w:tblGrid>
      <w:tr>
        <w:trPr>
          <w:tblHeader/>
        </w:trPr>
        <w:tc>
          <w:tcPr>
            <w:tcW w:type="dxa" w:w="170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Layer</w:t>
            </w:r>
          </w:p>
        </w:tc>
        <w:tc>
          <w:tcPr>
            <w:tcW w:type="dxa" w:w="766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What it does</w:t>
            </w:r>
          </w:p>
        </w:tc>
      </w:tr>
      <w:tr>
        <w:tc>
          <w:tcPr>
            <w:tcW w:type="dxa" w:w="1700"/>
            <w:tcMar>
              <w:top w:type="dxa" w:w="90"/>
              <w:left w:type="dxa" w:w="120"/>
              <w:bottom w:type="dxa" w:w="90"/>
              <w:right w:type="dxa" w:w="120"/>
            </w:tcMar>
          </w:tcPr>
          <w:p>
            <w:r>
              <w:rPr>
                <w:rFonts w:ascii="Calibri" w:cs="Calibri" w:eastAsia="Calibri" w:hAnsi="Calibri"/>
                <w:b/>
                <w:bCs/>
                <w:color w:val="1A1D23"/>
                <w:sz w:val="19"/>
                <w:szCs w:val="19"/>
              </w:rPr>
              <w:t xml:space="preserve">SENSE</w:t>
            </w:r>
          </w:p>
        </w:tc>
        <w:tc>
          <w:tcPr>
            <w:tcW w:type="dxa" w:w="7660"/>
            <w:tcMar>
              <w:top w:type="dxa" w:w="90"/>
              <w:left w:type="dxa" w:w="120"/>
              <w:bottom w:type="dxa" w:w="90"/>
              <w:right w:type="dxa" w:w="120"/>
            </w:tcMar>
          </w:tcPr>
          <w:p>
            <w:r>
              <w:rPr>
                <w:rFonts w:ascii="Calibri" w:cs="Calibri" w:eastAsia="Calibri" w:hAnsi="Calibri"/>
                <w:color w:val="1A1D23"/>
                <w:sz w:val="19"/>
                <w:szCs w:val="19"/>
              </w:rPr>
              <w:t xml:space="preserve">Where is crime actually clustering? Getis-Ord Gi* and LISA at p &lt; 0.05 over a 1 km grid, computed under two baselines: state-wide (for DGP-level resource allocation) and district-normalised (so an SP sees local hotspots even in a low-volume district). Drill down from state to district to police station.</w:t>
            </w:r>
          </w:p>
        </w:tc>
      </w:tr>
      <w:tr>
        <w:tc>
          <w:tcPr>
            <w:tcW w:type="dxa" w:w="1700"/>
            <w:tcMar>
              <w:top w:type="dxa" w:w="90"/>
              <w:left w:type="dxa" w:w="120"/>
              <w:bottom w:type="dxa" w:w="90"/>
              <w:right w:type="dxa" w:w="120"/>
            </w:tcMar>
          </w:tcPr>
          <w:p>
            <w:r>
              <w:rPr>
                <w:rFonts w:ascii="Calibri" w:cs="Calibri" w:eastAsia="Calibri" w:hAnsi="Calibri"/>
                <w:b/>
                <w:bCs/>
                <w:color w:val="1A1D23"/>
                <w:sz w:val="19"/>
                <w:szCs w:val="19"/>
              </w:rPr>
              <w:t xml:space="preserve">PREDICT</w:t>
            </w:r>
          </w:p>
        </w:tc>
        <w:tc>
          <w:tcPr>
            <w:tcW w:type="dxa" w:w="7660"/>
            <w:tcMar>
              <w:top w:type="dxa" w:w="90"/>
              <w:left w:type="dxa" w:w="120"/>
              <w:bottom w:type="dxa" w:w="90"/>
              <w:right w:type="dxa" w:w="120"/>
            </w:tcMar>
          </w:tcPr>
          <w:p>
            <w:r>
              <w:rPr>
                <w:rFonts w:ascii="Calibri" w:cs="Calibri" w:eastAsia="Calibri" w:hAnsi="Calibri"/>
                <w:color w:val="1A1D23"/>
                <w:sz w:val="19"/>
                <w:szCs w:val="19"/>
              </w:rPr>
              <w:t xml:space="preserve">What is likely next, and who is behind it? A LightGBM classifier scores next-week risk per cell from near-repeat, seasonal and spatial-lag features. STL residual analysis surfaces emerging spikes as ranked alerts. A co-offending graph, partitioned with Louvain, exposes the groups behind repeat crime.</w:t>
            </w:r>
          </w:p>
        </w:tc>
      </w:tr>
      <w:tr>
        <w:tc>
          <w:tcPr>
            <w:tcW w:type="dxa" w:w="1700"/>
            <w:tcMar>
              <w:top w:type="dxa" w:w="90"/>
              <w:left w:type="dxa" w:w="120"/>
              <w:bottom w:type="dxa" w:w="90"/>
              <w:right w:type="dxa" w:w="120"/>
            </w:tcMar>
          </w:tcPr>
          <w:p>
            <w:r>
              <w:rPr>
                <w:rFonts w:ascii="Calibri" w:cs="Calibri" w:eastAsia="Calibri" w:hAnsi="Calibri"/>
                <w:b/>
                <w:bCs/>
                <w:color w:val="1A1D23"/>
                <w:sz w:val="19"/>
                <w:szCs w:val="19"/>
              </w:rPr>
              <w:t xml:space="preserve">ACT</w:t>
            </w:r>
          </w:p>
        </w:tc>
        <w:tc>
          <w:tcPr>
            <w:tcW w:type="dxa" w:w="7660"/>
            <w:tcMar>
              <w:top w:type="dxa" w:w="90"/>
              <w:left w:type="dxa" w:w="120"/>
              <w:bottom w:type="dxa" w:w="90"/>
              <w:right w:type="dxa" w:w="120"/>
            </w:tcMar>
          </w:tcPr>
          <w:p>
            <w:r>
              <w:rPr>
                <w:rFonts w:ascii="Calibri" w:cs="Calibri" w:eastAsia="Calibri" w:hAnsi="Calibri"/>
                <w:color w:val="1A1D23"/>
                <w:sz w:val="19"/>
                <w:szCs w:val="19"/>
              </w:rPr>
              <w:t xml:space="preserve">Where do I send the units I actually have? A maximal-coverage integer program places a fixed number of patrol units over predicted risk, with a greedy heuristic as a fallback that always returns a plan. Output is a printable shift briefing.</w:t>
            </w:r>
          </w:p>
        </w:tc>
      </w:tr>
      <w:tr>
        <w:tc>
          <w:tcPr>
            <w:tcW w:type="dxa" w:w="1700"/>
            <w:tcMar>
              <w:top w:type="dxa" w:w="90"/>
              <w:left w:type="dxa" w:w="120"/>
              <w:bottom w:type="dxa" w:w="90"/>
              <w:right w:type="dxa" w:w="120"/>
            </w:tcMar>
          </w:tcPr>
          <w:p>
            <w:r>
              <w:rPr>
                <w:rFonts w:ascii="Calibri" w:cs="Calibri" w:eastAsia="Calibri" w:hAnsi="Calibri"/>
                <w:b/>
                <w:bCs/>
                <w:color w:val="1A1D23"/>
                <w:sz w:val="19"/>
                <w:szCs w:val="19"/>
              </w:rPr>
              <w:t xml:space="preserve">TRUST</w:t>
            </w:r>
          </w:p>
        </w:tc>
        <w:tc>
          <w:tcPr>
            <w:tcW w:type="dxa" w:w="7660"/>
            <w:tcMar>
              <w:top w:type="dxa" w:w="90"/>
              <w:left w:type="dxa" w:w="120"/>
              <w:bottom w:type="dxa" w:w="90"/>
              <w:right w:type="dxa" w:w="120"/>
            </w:tcMar>
          </w:tcPr>
          <w:p>
            <w:r>
              <w:rPr>
                <w:rFonts w:ascii="Calibri" w:cs="Calibri" w:eastAsia="Calibri" w:hAnsi="Calibri"/>
                <w:color w:val="1A1D23"/>
                <w:sz w:val="19"/>
                <w:szCs w:val="19"/>
              </w:rPr>
              <w:t xml:space="preserve">Why should anyone believe it? SHAP attributions per prediction, an isotonic calibration curve, and a fairness audit that adjusts for differences in reporting rate before flagging a district.</w:t>
            </w:r>
          </w:p>
        </w:tc>
      </w:tr>
    </w:tbl>
    <w:p>
      <w:pPr>
        <w:spacing w:after="100" w:before="260"/>
      </w:pPr>
      <w:r>
        <w:rPr>
          <w:rFonts w:ascii="Calibri" w:cs="Calibri" w:eastAsia="Calibri" w:hAnsi="Calibri"/>
          <w:b/>
          <w:bCs/>
          <w:color w:val="1A1D23"/>
          <w:sz w:val="24"/>
          <w:szCs w:val="24"/>
        </w:rPr>
        <w:t xml:space="preserve">Frontend</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900"/>
        <w:gridCol w:w="6460"/>
      </w:tblGrid>
      <w:tr>
        <w:trPr>
          <w:tblHeader/>
        </w:trPr>
        <w:tc>
          <w:tcPr>
            <w:tcW w:type="dxa" w:w="290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Technology</w:t>
            </w:r>
          </w:p>
        </w:tc>
        <w:tc>
          <w:tcPr>
            <w:tcW w:type="dxa" w:w="646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Role</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React 19 + TypeScript</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Component model and full type safety across ~70 source files.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Vite 8</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Build tool. The console is code-split behind React.lazy, so the initial payload is 288 kB instead of 2.5 MB.</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MapLibre GL</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Open-source vector basemap. No proprietary map key required.</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deck.gl</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GPU layers for the Gi* hotspot columns, risk heatmap and patrol beats.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Recharts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Trend, distribution and PAI curve charts.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Tailwind CSS v4</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CSS-first theming. A single @theme block remaps the palette, so the graphite-and-brass scheme applies without touching component markup.</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Custom hash router</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No react-router. Catalyst serves static files with no SPA rewrite rule, so hash routes are the dependency-free way to get deep links that survive a refresh.</w:t>
            </w:r>
          </w:p>
        </w:tc>
      </w:tr>
    </w:tbl>
    <w:p>
      <w:pPr>
        <w:spacing w:after="100" w:before="260"/>
      </w:pPr>
      <w:r>
        <w:rPr>
          <w:rFonts w:ascii="Calibri" w:cs="Calibri" w:eastAsia="Calibri" w:hAnsi="Calibri"/>
          <w:b/>
          <w:bCs/>
          <w:color w:val="1A1D23"/>
          <w:sz w:val="24"/>
          <w:szCs w:val="24"/>
        </w:rPr>
        <w:t xml:space="preserve">Backend — the analytics pipeline</w:t>
      </w:r>
    </w:p>
    <w:p>
      <w:pPr>
        <w:spacing w:after="120" w:line="276"/>
      </w:pPr>
      <w:r>
        <w:rPr>
          <w:rFonts w:ascii="Calibri" w:cs="Calibri" w:eastAsia="Calibri" w:hAnsi="Calibri"/>
          <w:color w:val="1A1D23"/>
          <w:sz w:val="21"/>
          <w:szCs w:val="21"/>
        </w:rPr>
        <w:t xml:space="preserve">Python throughout. The pipeline is offline and reproducible: one command regenerates every artefact the console reads, in roughly twenty minutes. Nothing is computed in the browser.</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900"/>
        <w:gridCol w:w="6460"/>
      </w:tblGrid>
      <w:tr>
        <w:trPr>
          <w:tblHeader/>
        </w:trPr>
        <w:tc>
          <w:tcPr>
            <w:tcW w:type="dxa" w:w="290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Technology</w:t>
            </w:r>
          </w:p>
        </w:tc>
        <w:tc>
          <w:tcPr>
            <w:tcW w:type="dxa" w:w="646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Role</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pandas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Ingest and normalise eight CCTNS tables into one analysis-ready model.</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libpysal + esda</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Getis-Ord Gi* and LISA spatial statistics.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scikit-learn + LightGBM</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The spatio-temporal risk model, trained on a temporal split to avoid leakage.</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statsmodels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STL decomposition for anomaly detection.</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networkx</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Co-offending graph construction, Louvain communities, disruption simulation.</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SHAP</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Per-prediction feature attributions behind the TRUST tab.</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OR-Tools / PuLP</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The maximal-coverage integer program for patrol placement.</w:t>
            </w:r>
          </w:p>
        </w:tc>
      </w:tr>
    </w:tbl>
    <w:p>
      <w:pPr>
        <w:spacing w:after="100" w:before="260"/>
      </w:pPr>
      <w:r>
        <w:rPr>
          <w:rFonts w:ascii="Calibri" w:cs="Calibri" w:eastAsia="Calibri" w:hAnsi="Calibri"/>
          <w:b/>
          <w:bCs/>
          <w:color w:val="1A1D23"/>
          <w:sz w:val="24"/>
          <w:szCs w:val="24"/>
        </w:rPr>
        <w:t xml:space="preserve">Pipeline — nine steps, one command</w:t>
      </w:r>
    </w:p>
    <w:p>
      <w:pPr>
        <w:pStyle w:val="ListParagraph"/>
        <w:numPr>
          <w:ilvl w:val="0"/>
          <w:numId w:val="2"/>
        </w:numPr>
        <w:spacing w:after="90" w:line="276"/>
      </w:pPr>
      <w:r>
        <w:rPr>
          <w:rFonts w:ascii="Calibri" w:cs="Calibri" w:eastAsia="Calibri" w:hAnsi="Calibri"/>
          <w:color w:val="1A1D23"/>
          <w:sz w:val="20"/>
          <w:szCs w:val="20"/>
        </w:rPr>
        <w:t xml:space="preserve">01  Load and normalise 1,674,732 FIR records</w:t>
      </w:r>
    </w:p>
    <w:p>
      <w:pPr>
        <w:pStyle w:val="ListParagraph"/>
        <w:numPr>
          <w:ilvl w:val="0"/>
          <w:numId w:val="2"/>
        </w:numPr>
        <w:spacing w:after="90" w:line="276"/>
      </w:pPr>
      <w:r>
        <w:rPr>
          <w:rFonts w:ascii="Calibri" w:cs="Calibri" w:eastAsia="Calibri" w:hAnsi="Calibri"/>
          <w:color w:val="1A1D23"/>
          <w:sz w:val="20"/>
          <w:szCs w:val="20"/>
        </w:rPr>
        <w:t xml:space="preserve">02  SENSE layer — Gi* / LISA hotspot surfaces</w:t>
      </w:r>
    </w:p>
    <w:p>
      <w:pPr>
        <w:pStyle w:val="ListParagraph"/>
        <w:numPr>
          <w:ilvl w:val="0"/>
          <w:numId w:val="2"/>
        </w:numPr>
        <w:spacing w:after="90" w:line="276"/>
      </w:pPr>
      <w:r>
        <w:rPr>
          <w:rFonts w:ascii="Calibri" w:cs="Calibri" w:eastAsia="Calibri" w:hAnsi="Calibri"/>
          <w:color w:val="1A1D23"/>
          <w:sz w:val="20"/>
          <w:szCs w:val="20"/>
        </w:rPr>
        <w:t xml:space="preserve">03  Feature engineering — near-repeat, temporal, spatial lags</w:t>
      </w:r>
    </w:p>
    <w:p>
      <w:pPr>
        <w:pStyle w:val="ListParagraph"/>
        <w:numPr>
          <w:ilvl w:val="0"/>
          <w:numId w:val="2"/>
        </w:numPr>
        <w:spacing w:after="90" w:line="276"/>
      </w:pPr>
      <w:r>
        <w:rPr>
          <w:rFonts w:ascii="Calibri" w:cs="Calibri" w:eastAsia="Calibri" w:hAnsi="Calibri"/>
          <w:color w:val="1A1D23"/>
          <w:sz w:val="20"/>
          <w:szCs w:val="20"/>
        </w:rPr>
        <w:t xml:space="preserve">04  Risk model — LightGBM, calibrated</w:t>
      </w:r>
    </w:p>
    <w:p>
      <w:pPr>
        <w:pStyle w:val="ListParagraph"/>
        <w:numPr>
          <w:ilvl w:val="0"/>
          <w:numId w:val="2"/>
        </w:numPr>
        <w:spacing w:after="90" w:line="276"/>
      </w:pPr>
      <w:r>
        <w:rPr>
          <w:rFonts w:ascii="Calibri" w:cs="Calibri" w:eastAsia="Calibri" w:hAnsi="Calibri"/>
          <w:color w:val="1A1D23"/>
          <w:sz w:val="20"/>
          <w:szCs w:val="20"/>
        </w:rPr>
        <w:t xml:space="preserve">05  Network analysis — co-offending graph + Louvain communities</w:t>
      </w:r>
    </w:p>
    <w:p>
      <w:pPr>
        <w:pStyle w:val="ListParagraph"/>
        <w:numPr>
          <w:ilvl w:val="0"/>
          <w:numId w:val="2"/>
        </w:numPr>
        <w:spacing w:after="90" w:line="276"/>
      </w:pPr>
      <w:r>
        <w:rPr>
          <w:rFonts w:ascii="Calibri" w:cs="Calibri" w:eastAsia="Calibri" w:hAnsi="Calibri"/>
          <w:color w:val="1A1D23"/>
          <w:sz w:val="20"/>
          <w:szCs w:val="20"/>
        </w:rPr>
        <w:t xml:space="preserve">06  Anomaly detection — STL residuals</w:t>
      </w:r>
    </w:p>
    <w:p>
      <w:pPr>
        <w:pStyle w:val="ListParagraph"/>
        <w:numPr>
          <w:ilvl w:val="0"/>
          <w:numId w:val="2"/>
        </w:numPr>
        <w:spacing w:after="90" w:line="276"/>
      </w:pPr>
      <w:r>
        <w:rPr>
          <w:rFonts w:ascii="Calibri" w:cs="Calibri" w:eastAsia="Calibri" w:hAnsi="Calibri"/>
          <w:color w:val="1A1D23"/>
          <w:sz w:val="20"/>
          <w:szCs w:val="20"/>
        </w:rPr>
        <w:t xml:space="preserve">07  Patrol optimizer — maximal-coverage ILP with greedy fallback</w:t>
      </w:r>
    </w:p>
    <w:p>
      <w:pPr>
        <w:pStyle w:val="ListParagraph"/>
        <w:numPr>
          <w:ilvl w:val="0"/>
          <w:numId w:val="2"/>
        </w:numPr>
        <w:spacing w:after="90" w:line="276"/>
      </w:pPr>
      <w:r>
        <w:rPr>
          <w:rFonts w:ascii="Calibri" w:cs="Calibri" w:eastAsia="Calibri" w:hAnsi="Calibri"/>
          <w:color w:val="1A1D23"/>
          <w:sz w:val="20"/>
          <w:szCs w:val="20"/>
        </w:rPr>
        <w:t xml:space="preserve">08  TRUST layer — SHAP, fairness audit, calibration</w:t>
      </w:r>
    </w:p>
    <w:p>
      <w:pPr>
        <w:pStyle w:val="ListParagraph"/>
        <w:numPr>
          <w:ilvl w:val="0"/>
          <w:numId w:val="2"/>
        </w:numPr>
        <w:spacing w:after="90" w:line="276"/>
      </w:pPr>
      <w:r>
        <w:rPr>
          <w:rFonts w:ascii="Calibri" w:cs="Calibri" w:eastAsia="Calibri" w:hAnsi="Calibri"/>
          <w:color w:val="1A1D23"/>
          <w:sz w:val="20"/>
          <w:szCs w:val="20"/>
        </w:rPr>
        <w:t xml:space="preserve">09  Benchmark harness — reproducible report</w:t>
      </w:r>
    </w:p>
    <w:p>
      <w:pPr>
        <w:spacing w:after="100" w:before="260"/>
      </w:pPr>
      <w:r>
        <w:rPr>
          <w:rFonts w:ascii="Calibri" w:cs="Calibri" w:eastAsia="Calibri" w:hAnsi="Calibri"/>
          <w:b/>
          <w:bCs/>
          <w:color w:val="1A1D23"/>
          <w:sz w:val="24"/>
          <w:szCs w:val="24"/>
        </w:rPr>
        <w:t xml:space="preserve">Data</w:t>
      </w:r>
    </w:p>
    <w:p>
      <w:pPr>
        <w:spacing w:after="90" w:line="276"/>
      </w:pPr>
      <w:r>
        <w:rPr>
          <w:rFonts w:ascii="Calibri" w:cs="Calibri" w:eastAsia="Calibri" w:hAnsi="Calibri"/>
          <w:b/>
          <w:bCs/>
          <w:color w:val="1A1D23"/>
          <w:sz w:val="20"/>
          <w:szCs w:val="20"/>
        </w:rPr>
        <w:t xml:space="preserve">Source  </w:t>
      </w:r>
      <w:r>
        <w:rPr>
          <w:rFonts w:ascii="Calibri" w:cs="Calibri" w:eastAsia="Calibri" w:hAnsi="Calibri"/>
          <w:color w:val="1A1D23"/>
          <w:sz w:val="20"/>
          <w:szCs w:val="20"/>
        </w:rPr>
        <w:t xml:space="preserve">Official KSP FIR dataset — CaseMaster plus Accused, Victim, ArrestSurrender, ComplainantDetails, ActSectionAssociation, ChargesheetDetails, Employee.</w:t>
      </w:r>
    </w:p>
    <w:p>
      <w:pPr>
        <w:spacing w:after="90" w:line="276"/>
      </w:pPr>
      <w:r>
        <w:rPr>
          <w:rFonts w:ascii="Calibri" w:cs="Calibri" w:eastAsia="Calibri" w:hAnsi="Calibri"/>
          <w:b/>
          <w:bCs/>
          <w:color w:val="1A1D23"/>
          <w:sz w:val="20"/>
          <w:szCs w:val="20"/>
        </w:rPr>
        <w:t xml:space="preserve">Scale  </w:t>
      </w:r>
      <w:r>
        <w:rPr>
          <w:rFonts w:ascii="Calibri" w:cs="Calibri" w:eastAsia="Calibri" w:hAnsi="Calibri"/>
          <w:color w:val="1A1D23"/>
          <w:sz w:val="20"/>
          <w:szCs w:val="20"/>
        </w:rPr>
        <w:t xml:space="preserve">1,674,732 cases · 2016–2024 · 41 districts · 1,074 stations · 20 crime categories.</w:t>
      </w:r>
    </w:p>
    <w:p>
      <w:pPr>
        <w:spacing w:after="90" w:line="276"/>
      </w:pPr>
      <w:r>
        <w:rPr>
          <w:rFonts w:ascii="Calibri" w:cs="Calibri" w:eastAsia="Calibri" w:hAnsi="Calibri"/>
          <w:b/>
          <w:bCs/>
          <w:color w:val="1A1D23"/>
          <w:sz w:val="20"/>
          <w:szCs w:val="20"/>
        </w:rPr>
        <w:t xml:space="preserve">Grid  </w:t>
      </w:r>
      <w:r>
        <w:rPr>
          <w:rFonts w:ascii="Calibri" w:cs="Calibri" w:eastAsia="Calibri" w:hAnsi="Calibri"/>
          <w:color w:val="1A1D23"/>
          <w:sz w:val="20"/>
          <w:szCs w:val="20"/>
        </w:rPr>
        <w:t xml:space="preserve">16,650 analysed cells at roughly 1 km resolution.</w:t>
      </w:r>
    </w:p>
    <w:p>
      <w:pPr>
        <w:spacing w:after="90" w:line="276"/>
      </w:pPr>
      <w:r>
        <w:rPr>
          <w:rFonts w:ascii="Calibri" w:cs="Calibri" w:eastAsia="Calibri" w:hAnsi="Calibri"/>
          <w:b/>
          <w:bCs/>
          <w:color w:val="1A1D23"/>
          <w:sz w:val="20"/>
          <w:szCs w:val="20"/>
        </w:rPr>
        <w:t xml:space="preserve">Geography caveat  </w:t>
      </w:r>
      <w:r>
        <w:rPr>
          <w:rFonts w:ascii="Calibri" w:cs="Calibri" w:eastAsia="Calibri" w:hAnsi="Calibri"/>
          <w:color w:val="1A1D23"/>
          <w:sz w:val="20"/>
          <w:szCs w:val="20"/>
        </w:rPr>
        <w:t xml:space="preserve">Case coordinates are not district-faithful, so location is reported at police-station jurisdiction — the most granular level the data supports honestly.</w:t>
      </w:r>
    </w:p>
    <w:p>
      <w:pPr>
        <w:spacing w:after="100" w:before="260"/>
      </w:pPr>
      <w:r>
        <w:rPr>
          <w:rFonts w:ascii="Calibri" w:cs="Calibri" w:eastAsia="Calibri" w:hAnsi="Calibri"/>
          <w:b/>
          <w:bCs/>
          <w:color w:val="1A1D23"/>
          <w:sz w:val="24"/>
          <w:szCs w:val="24"/>
        </w:rPr>
        <w:t xml:space="preserve">Deployment — Zoho Catalyst</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900"/>
        <w:gridCol w:w="6460"/>
      </w:tblGrid>
      <w:tr>
        <w:trPr>
          <w:tblHeader/>
        </w:trPr>
        <w:tc>
          <w:tcPr>
            <w:tcW w:type="dxa" w:w="290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Service</w:t>
            </w:r>
          </w:p>
        </w:tc>
        <w:tc>
          <w:tcPr>
            <w:tcW w:type="dxa" w:w="646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Status and use</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Catalyst Hosting</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DEPLOYED — serves the React console, the public site, and the precomputed analytics artefacts.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Catalyst Functions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Architected — query API in front of the cached analytics, plus the human-in-the-loop feedback endpoint.</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Catalyst Data Store</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Architected — normalised case, offender and feedback tables.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Catalyst Stratus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Architected — object storage for hotspot surfaces and model artefacts.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Catalyst Cron</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Architected — nightly recomputation of hotspots, risk scores, anomalies and patrol plans.</w:t>
            </w:r>
          </w:p>
        </w:tc>
      </w:tr>
    </w:tbl>
    <w:p>
      <w:pPr>
        <w:spacing w:after="100"/>
      </w:pPr>
      <w:r>
        <w:rPr>
          <w:rFonts w:ascii="Calibri" w:cs="Calibri" w:eastAsia="Calibri" w:hAnsi="Calibri"/>
          <w:i/>
          <w:iCs/>
          <w:color w:val="5A6270"/>
          <w:sz w:val="18"/>
          <w:szCs w:val="18"/>
        </w:rPr>
        <w:t xml:space="preserve">State this honestly on camera: only Hosting is live today. The rest are designed into the architecture and are the next integration step.</w:t>
      </w:r>
    </w:p>
    <w:p>
      <w:pPr>
        <w:spacing w:after="100" w:before="260"/>
      </w:pPr>
      <w:r>
        <w:rPr>
          <w:rFonts w:ascii="Calibri" w:cs="Calibri" w:eastAsia="Calibri" w:hAnsi="Calibri"/>
          <w:b/>
          <w:bCs/>
          <w:color w:val="1A1D23"/>
          <w:sz w:val="24"/>
          <w:szCs w:val="24"/>
        </w:rPr>
        <w:t xml:space="preserve">Responsible AI</w:t>
      </w:r>
    </w:p>
    <w:p>
      <w:pPr>
        <w:pStyle w:val="ListParagraph"/>
        <w:numPr>
          <w:ilvl w:val="0"/>
          <w:numId w:val="2"/>
        </w:numPr>
        <w:spacing w:after="90" w:line="276"/>
      </w:pPr>
      <w:r>
        <w:rPr>
          <w:rFonts w:ascii="Calibri" w:cs="Calibri" w:eastAsia="Calibri" w:hAnsi="Calibri"/>
          <w:color w:val="1A1D23"/>
          <w:sz w:val="20"/>
          <w:szCs w:val="20"/>
        </w:rPr>
        <w:t xml:space="preserve">Explainability — SHAP attributions accompany every prediction, and a reliability diagram shows whether a 70% risk score actually means 70%.</w:t>
      </w:r>
    </w:p>
    <w:p>
      <w:pPr>
        <w:pStyle w:val="ListParagraph"/>
        <w:numPr>
          <w:ilvl w:val="0"/>
          <w:numId w:val="2"/>
        </w:numPr>
        <w:spacing w:after="90" w:line="276"/>
      </w:pPr>
      <w:r>
        <w:rPr>
          <w:rFonts w:ascii="Calibri" w:cs="Calibri" w:eastAsia="Calibri" w:hAnsi="Calibri"/>
          <w:color w:val="1A1D23"/>
          <w:sz w:val="20"/>
          <w:szCs w:val="20"/>
        </w:rPr>
        <w:t xml:space="preserve">Reporting bias — more FIRs can mean more crime or simply more reporting. The fairness audit corrects for known differences before flagging a district.</w:t>
      </w:r>
    </w:p>
    <w:p>
      <w:pPr>
        <w:pStyle w:val="ListParagraph"/>
        <w:numPr>
          <w:ilvl w:val="0"/>
          <w:numId w:val="2"/>
        </w:numPr>
        <w:spacing w:after="90" w:line="276"/>
      </w:pPr>
      <w:r>
        <w:rPr>
          <w:rFonts w:ascii="Calibri" w:cs="Calibri" w:eastAsia="Calibri" w:hAnsi="Calibri"/>
          <w:color w:val="1A1D23"/>
          <w:sz w:val="20"/>
          <w:szCs w:val="20"/>
        </w:rPr>
        <w:t xml:space="preserve">Privacy — personal identifiers are hashed at ingest, and no case-level or offender-level data appears on the public pages.</w:t>
      </w:r>
    </w:p>
    <w:p>
      <w:pPr>
        <w:pStyle w:val="ListParagraph"/>
        <w:numPr>
          <w:ilvl w:val="0"/>
          <w:numId w:val="2"/>
        </w:numPr>
        <w:spacing w:after="90" w:line="276"/>
      </w:pPr>
      <w:r>
        <w:rPr>
          <w:rFonts w:ascii="Calibri" w:cs="Calibri" w:eastAsia="Calibri" w:hAnsi="Calibri"/>
          <w:color w:val="1A1D23"/>
          <w:sz w:val="20"/>
          <w:szCs w:val="20"/>
        </w:rPr>
        <w:t xml:space="preserve">Ethical boundary — PRAHARI predicts risk for areas and time windows and analyses networks of people already on record. It never predicts crime for a named individual. There is no pre-crime score for a person anywhere in the system.</w:t>
      </w:r>
    </w:p>
    <w:p>
      <w:r>
        <w:br w:type="page"/>
      </w:r>
    </w:p>
    <w:p>
      <w:pPr>
        <w:pStyle w:val="Heading1"/>
        <w:spacing w:after="140" w:before="320"/>
      </w:pPr>
      <w:r>
        <w:rPr>
          <w:rFonts w:ascii="Calibri" w:cs="Calibri" w:eastAsia="Calibri" w:hAnsi="Calibri"/>
          <w:b/>
          <w:bCs/>
          <w:color w:val="1A1D23"/>
          <w:sz w:val="30"/>
          <w:szCs w:val="30"/>
        </w:rPr>
        <w:t xml:space="preserve">Numbers cheat-sheet</w:t>
      </w:r>
    </w:p>
    <w:p>
      <w:pPr>
        <w:spacing w:after="100"/>
      </w:pPr>
      <w:r>
        <w:rPr>
          <w:rFonts w:ascii="Calibri" w:cs="Calibri" w:eastAsia="Calibri" w:hAnsi="Calibri"/>
          <w:i/>
          <w:iCs/>
          <w:color w:val="5A6270"/>
          <w:sz w:val="18"/>
          <w:szCs w:val="18"/>
        </w:rPr>
        <w:t xml:space="preserve">Keep this visible while recording. These are the verified values — do not round them upward on camera.</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900"/>
        <w:gridCol w:w="6460"/>
      </w:tblGrid>
      <w:tr>
        <w:trPr>
          <w:tblHeader/>
        </w:trPr>
        <w:tc>
          <w:tcPr>
            <w:tcW w:type="dxa" w:w="290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Metric</w:t>
            </w:r>
          </w:p>
        </w:tc>
        <w:tc>
          <w:tcPr>
            <w:tcW w:type="dxa" w:w="6460"/>
            <w:shd w:fill="F2F4F6" w:color="auto" w:val="clear"/>
            <w:tcMar>
              <w:top w:type="dxa" w:w="90"/>
              <w:left w:type="dxa" w:w="120"/>
              <w:bottom w:type="dxa" w:w="90"/>
              <w:right w:type="dxa" w:w="120"/>
            </w:tcMar>
          </w:tcPr>
          <w:p>
            <w:r>
              <w:rPr>
                <w:rFonts w:ascii="Calibri" w:cs="Calibri" w:eastAsia="Calibri" w:hAnsi="Calibri"/>
                <w:b/>
                <w:bCs/>
                <w:color w:val="1A1D23"/>
                <w:sz w:val="19"/>
                <w:szCs w:val="19"/>
              </w:rPr>
              <w:t xml:space="preserve">Verified value</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Dataset</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1,674,732 FIRs · 2016–2024 · 41 districts · 1,074 stations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Hotspots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722 significant cells of 16,650 analysed · Getis-Ord Gi*, p &lt; 0.05</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Risk model</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Test AUC 0.847 (held-out temporal split)</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Predictive accuracy</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PAI 10.63 at top 5% of area — 53.1% of crime captured</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Patrol coverage</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11.67% optimised vs 9.87% status quo → +18.2%</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ILP check</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Integer program 11.72% — greedy is within 0.05 points</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Network</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341,803 offenders · 509,633 links · modularity 0.978</w:t>
            </w:r>
          </w:p>
        </w:tc>
      </w:tr>
      <w:tr>
        <w:tc>
          <w:tcPr>
            <w:tcW w:type="dxa" w:w="2900"/>
            <w:tcMar>
              <w:top w:type="dxa" w:w="90"/>
              <w:left w:type="dxa" w:w="120"/>
              <w:bottom w:type="dxa" w:w="90"/>
              <w:right w:type="dxa" w:w="120"/>
            </w:tcMar>
          </w:tcPr>
          <w:p>
            <w:r>
              <w:rPr>
                <w:rFonts w:ascii="Calibri" w:cs="Calibri" w:eastAsia="Calibri" w:hAnsi="Calibri"/>
                <w:b/>
                <w:bCs/>
                <w:color w:val="1A1D23"/>
                <w:sz w:val="19"/>
                <w:szCs w:val="19"/>
              </w:rPr>
              <w:t xml:space="preserve">Fairness</w:t>
            </w:r>
          </w:p>
        </w:tc>
        <w:tc>
          <w:tcPr>
            <w:tcW w:type="dxa" w:w="6460"/>
            <w:tcMar>
              <w:top w:type="dxa" w:w="90"/>
              <w:left w:type="dxa" w:w="120"/>
              <w:bottom w:type="dxa" w:w="90"/>
              <w:right w:type="dxa" w:w="120"/>
            </w:tcMar>
          </w:tcPr>
          <w:p>
            <w:r>
              <w:rPr>
                <w:rFonts w:ascii="Calibri" w:cs="Calibri" w:eastAsia="Calibri" w:hAnsi="Calibri"/>
                <w:color w:val="1A1D23"/>
                <w:sz w:val="19"/>
                <w:szCs w:val="19"/>
              </w:rPr>
              <w:t xml:space="preserve">Allocation Gini 0.183 · 11 districts flagged for review</w:t>
            </w:r>
          </w:p>
        </w:tc>
      </w:tr>
    </w:tbl>
    <w:p>
      <w:pPr>
        <w:pStyle w:val="Heading1"/>
        <w:spacing w:after="140" w:before="320"/>
      </w:pPr>
      <w:r>
        <w:rPr>
          <w:rFonts w:ascii="Calibri" w:cs="Calibri" w:eastAsia="Calibri" w:hAnsi="Calibri"/>
          <w:b/>
          <w:bCs/>
          <w:color w:val="1A1D23"/>
          <w:sz w:val="30"/>
          <w:szCs w:val="30"/>
        </w:rPr>
        <w:t xml:space="preserve">Recording notes</w:t>
      </w:r>
    </w:p>
    <w:p>
      <w:pPr>
        <w:pStyle w:val="ListParagraph"/>
        <w:numPr>
          <w:ilvl w:val="0"/>
          <w:numId w:val="2"/>
        </w:numPr>
        <w:spacing w:after="110" w:line="276"/>
      </w:pPr>
      <w:r>
        <w:rPr>
          <w:rFonts w:ascii="Calibri" w:cs="Calibri" w:eastAsia="Calibri" w:hAnsi="Calibri"/>
          <w:color w:val="1A1D23"/>
          <w:sz w:val="21"/>
          <w:szCs w:val="21"/>
        </w:rPr>
        <w:t xml:space="preserve">Rehearse the ACT segment most. The 9.87 to 11.67 percent comparison is the strongest claim in the video and the one judges are most likely to probe.</w:t>
      </w:r>
    </w:p>
    <w:p>
      <w:pPr>
        <w:pStyle w:val="ListParagraph"/>
        <w:numPr>
          <w:ilvl w:val="0"/>
          <w:numId w:val="2"/>
        </w:numPr>
        <w:spacing w:after="110" w:line="276"/>
      </w:pPr>
      <w:r>
        <w:rPr>
          <w:rFonts w:ascii="Calibri" w:cs="Calibri" w:eastAsia="Calibri" w:hAnsi="Calibri"/>
          <w:color w:val="1A1D23"/>
          <w:sz w:val="21"/>
          <w:szCs w:val="21"/>
        </w:rPr>
        <w:t xml:space="preserve">Say "18 percent better than status quo" — never "three times better than random". The random baseline flatters the result and will not survive questioning.</w:t>
      </w:r>
    </w:p>
    <w:p>
      <w:pPr>
        <w:pStyle w:val="ListParagraph"/>
        <w:numPr>
          <w:ilvl w:val="0"/>
          <w:numId w:val="2"/>
        </w:numPr>
        <w:spacing w:after="110" w:line="276"/>
      </w:pPr>
      <w:r>
        <w:rPr>
          <w:rFonts w:ascii="Calibri" w:cs="Calibri" w:eastAsia="Calibri" w:hAnsi="Calibri"/>
          <w:color w:val="1A1D23"/>
          <w:sz w:val="21"/>
          <w:szCs w:val="21"/>
        </w:rPr>
        <w:t xml:space="preserve">Load every tab once before you start recording so nothing loads on camera.</w:t>
      </w:r>
    </w:p>
    <w:p>
      <w:pPr>
        <w:pStyle w:val="ListParagraph"/>
        <w:numPr>
          <w:ilvl w:val="0"/>
          <w:numId w:val="2"/>
        </w:numPr>
        <w:spacing w:after="110" w:line="276"/>
      </w:pPr>
      <w:r>
        <w:rPr>
          <w:rFonts w:ascii="Calibri" w:cs="Calibri" w:eastAsia="Calibri" w:hAnsi="Calibri"/>
          <w:color w:val="1A1D23"/>
          <w:sz w:val="21"/>
          <w:szCs w:val="21"/>
        </w:rPr>
        <w:t xml:space="preserve">Catalyst wording matters: say the remaining services are mapped or architected, not deployed. Only Hosting is actually live and that is trivially checkable.</w:t>
      </w:r>
    </w:p>
    <w:p>
      <w:pPr>
        <w:pStyle w:val="ListParagraph"/>
        <w:numPr>
          <w:ilvl w:val="0"/>
          <w:numId w:val="2"/>
        </w:numPr>
        <w:spacing w:after="110" w:line="276"/>
      </w:pPr>
      <w:r>
        <w:rPr>
          <w:rFonts w:ascii="Calibri" w:cs="Calibri" w:eastAsia="Calibri" w:hAnsi="Calibri"/>
          <w:color w:val="1A1D23"/>
          <w:sz w:val="21"/>
          <w:szCs w:val="21"/>
        </w:rPr>
        <w:t xml:space="preserve">If you run over time, cut the co-offending network sentence in PREDICT. It is the least load-bearing line in the script.</w:t>
      </w:r>
    </w:p>
    <w:p>
      <w:pPr>
        <w:pStyle w:val="ListParagraph"/>
        <w:numPr>
          <w:ilvl w:val="0"/>
          <w:numId w:val="2"/>
        </w:numPr>
        <w:spacing w:after="110" w:line="276"/>
      </w:pPr>
      <w:r>
        <w:rPr>
          <w:rFonts w:ascii="Calibri" w:cs="Calibri" w:eastAsia="Calibri" w:hAnsi="Calibri"/>
          <w:color w:val="1A1D23"/>
          <w:sz w:val="21"/>
          <w:szCs w:val="21"/>
        </w:rPr>
        <w:t xml:space="preserve">Record a backup take. Your own plan document recommends this in case the live demo fails on the day.</w:t>
      </w:r>
    </w:p>
    <w:p>
      <w:pPr>
        <w:pStyle w:val="Heading1"/>
        <w:spacing w:after="140" w:before="320"/>
      </w:pPr>
      <w:r>
        <w:rPr>
          <w:rFonts w:ascii="Calibri" w:cs="Calibri" w:eastAsia="Calibri" w:hAnsi="Calibri"/>
          <w:b/>
          <w:bCs/>
          <w:color w:val="1A1D23"/>
          <w:sz w:val="30"/>
          <w:szCs w:val="30"/>
        </w:rPr>
        <w:t xml:space="preserve">Demo URL</w:t>
      </w:r>
    </w:p>
    <w:p>
      <w:pPr>
        <w:spacing w:after="100"/>
      </w:pPr>
      <w:r>
        <w:rPr>
          <w:rFonts w:ascii="Consolas" w:cs="Consolas" w:eastAsia="Consolas" w:hAnsi="Consolas"/>
          <w:color w:val="B8860B"/>
          <w:sz w:val="20"/>
          <w:szCs w:val="20"/>
        </w:rPr>
        <w:t xml:space="preserve">https://prahari-60076064719.development.catalystserverless.in/app/index.html</w:t>
      </w:r>
    </w:p>
    <w:p>
      <w:pPr>
        <w:spacing w:after="100"/>
      </w:pPr>
      <w:r>
        <w:rPr>
          <w:rFonts w:ascii="Calibri" w:cs="Calibri" w:eastAsia="Calibri" w:hAnsi="Calibri"/>
          <w:i/>
          <w:iCs/>
          <w:color w:val="5A6270"/>
          <w:sz w:val="18"/>
          <w:szCs w:val="18"/>
        </w:rPr>
        <w:t xml:space="preserve">Catalyst caches index.html. If the page looks stale, append ?v=2 (or any new number) to force the latest build.</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PRAHARI — 3-Minute Demo Video Script</dc:title>
  <dc:creator>PRAHARI team</dc:creator>
  <dc:description>Shooting script for the KSP Datathon 2026 Challenge 02 submission video</dc:description>
  <cp:lastModifiedBy>Un-named</cp:lastModifiedBy>
  <cp:revision>1</cp:revision>
  <dcterms:created xsi:type="dcterms:W3CDTF">2026-07-25T11:53:13.969Z</dcterms:created>
  <dcterms:modified xsi:type="dcterms:W3CDTF">2026-07-25T11:53:13.971Z</dcterms:modified>
</cp:coreProperties>
</file>

<file path=docProps/custom.xml><?xml version="1.0" encoding="utf-8"?>
<Properties xmlns="http://schemas.openxmlformats.org/officeDocument/2006/custom-properties" xmlns:vt="http://schemas.openxmlformats.org/officeDocument/2006/docPropsVTypes"/>
</file>