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B57"/>
          <w:sz w:val="40"/>
          <w:szCs w:val="40"/>
        </w:rPr>
        <w:t xml:space="preserve">EXECUTIVE SUMMARY</w:t>
      </w:r>
    </w:p>
    <w:p>
      <w:pPr>
        <w:spacing w:after="260"/>
      </w:pPr>
      <w:r>
        <w:rPr>
          <w:i/>
          <w:iCs/>
          <w:color w:val="C8102E"/>
          <w:sz w:val="26"/>
          <w:szCs w:val="26"/>
        </w:rPr>
        <w:t xml:space="preserve">Predictive Churn Intelligence for Retail Banking</w:t>
      </w:r>
    </w:p>
    <w:tbl>
      <w:tblPr>
        <w:tblW w:type="pct" w:w="100%"/>
        <w:tblBorders>
          <w:top w:val="none"/>
          <w:left w:val="none"/>
          <w:bottom w:val="none"/>
          <w:right w:val="none"/>
          <w:insideH w:val="none"/>
          <w:insideV w:val="none"/>
        </w:tblBorders>
      </w:tblPr>
      <w:tblGrid>
        <w:gridCol w:w="100"/>
        <w:gridCol w:w="100"/>
      </w:tblGrid>
      <w:tr>
        <w:tc>
          <w:tcPr>
            <w:tcW w:type="pct" w:w="22%"/>
          </w:tcPr>
          <w:p>
            <w:r>
              <w:rPr>
                <w:b/>
                <w:bCs/>
                <w:color w:val="595959"/>
                <w:sz w:val="20"/>
                <w:szCs w:val="20"/>
              </w:rPr>
              <w:t xml:space="preserve">Prepared for</w:t>
            </w:r>
          </w:p>
        </w:tc>
        <w:tc>
          <w:tcPr>
            <w:tcW w:type="pct" w:w="78%"/>
          </w:tcPr>
          <w:p>
            <w:r>
              <w:rPr>
                <w:sz w:val="20"/>
                <w:szCs w:val="20"/>
              </w:rPr>
              <w:t xml:space="preserve">Government and regulatory stakeholders — European Central Bank engagement context</w:t>
            </w:r>
          </w:p>
        </w:tc>
      </w:tr>
      <w:tr>
        <w:tc>
          <w:p>
            <w:r>
              <w:rPr>
                <w:b/>
                <w:bCs/>
                <w:color w:val="595959"/>
                <w:sz w:val="20"/>
                <w:szCs w:val="20"/>
              </w:rPr>
              <w:t xml:space="preserve">Subject</w:t>
            </w:r>
          </w:p>
        </w:tc>
        <w:tc>
          <w:p>
            <w:r>
              <w:rPr>
                <w:sz w:val="20"/>
                <w:szCs w:val="20"/>
              </w:rPr>
              <w:t xml:space="preserve">Bank customer churn risk-scoring system — findings and recommendations</w:t>
            </w:r>
          </w:p>
        </w:tc>
      </w:tr>
    </w:tbl>
    <w:p>
      <w:pPr>
        <w:spacing w:after="200"/>
      </w:pPr>
    </w:p>
    <w:p>
      <w:pPr>
        <w:pStyle w:val="Heading1"/>
        <w:pBdr>
          <w:bottom w:val="single" w:color="1F3B57" w:sz="6" w:space="4"/>
        </w:pBdr>
        <w:spacing w:after="160" w:before="320"/>
      </w:pPr>
      <w:r>
        <w:rPr>
          <w:b/>
          <w:bCs/>
          <w:color w:val="1F3B57"/>
          <w:sz w:val="30"/>
          <w:szCs w:val="30"/>
        </w:rPr>
        <w:t xml:space="preserve">Why This Matters</w:t>
      </w:r>
    </w:p>
    <w:p>
      <w:pPr>
        <w:spacing w:after="180" w:line="300"/>
      </w:pPr>
      <w:r>
        <w:rPr>
          <w:sz w:val="22"/>
          <w:szCs w:val="22"/>
        </w:rPr>
        <w:t xml:space="preserve">Customer churn is not just a marketing metric — it directly affects the stability of a bank's deposit base and the affordability of banking services. Banks that cannot anticipate churn resort to broad, costly retention campaigns that raise costs for all customers rather than targeted support for those genuinely at risk. This project analyzed 10,000 retail banking customer records to build a system that predicts, in advance, which customers are likely to leave — and, critically, why — so that intervention can be early, proportionate, and explainable.</w:t>
      </w:r>
    </w:p>
    <w:p>
      <w:pPr>
        <w:pStyle w:val="Heading1"/>
        <w:pBdr>
          <w:bottom w:val="single" w:color="1F3B57" w:sz="6" w:space="4"/>
        </w:pBdr>
        <w:spacing w:after="160" w:before="320"/>
      </w:pPr>
      <w:r>
        <w:rPr>
          <w:b/>
          <w:bCs/>
          <w:color w:val="1F3B57"/>
          <w:sz w:val="30"/>
          <w:szCs w:val="30"/>
        </w:rPr>
        <w:t xml:space="preserve">What Was Built</w:t>
      </w:r>
    </w:p>
    <w:p>
      <w:pPr>
        <w:spacing w:after="180" w:line="300"/>
      </w:pPr>
      <w:r>
        <w:rPr>
          <w:sz w:val="22"/>
          <w:szCs w:val="22"/>
        </w:rPr>
        <w:t xml:space="preserve">A predictive churn model was developed and validated using industry-standard practice: multiple candidate models were benchmarked head-to-head, the most reliable one was selected using cross-validation (not a single lucky test split), and every prediction can be traced back to the specific customer attributes that drove it. This traceability is delivered through an interactive dashboard that lets a non-technical reviewer enter a customer profile and see both the risk score and the reasoning behind it.</w:t>
      </w:r>
    </w:p>
    <w:p>
      <w:pPr>
        <w:pStyle w:val="Heading1"/>
        <w:pBdr>
          <w:bottom w:val="single" w:color="1F3B57" w:sz="6" w:space="4"/>
        </w:pBdr>
        <w:spacing w:after="160" w:before="320"/>
      </w:pPr>
      <w:r>
        <w:rPr>
          <w:b/>
          <w:bCs/>
          <w:color w:val="1F3B57"/>
          <w:sz w:val="30"/>
          <w:szCs w:val="30"/>
        </w:rPr>
        <w:t xml:space="preserve">Headline Findings</w:t>
      </w:r>
    </w:p>
    <w:p>
      <w:pPr>
        <w:pStyle w:val="ListParagraph"/>
        <w:numPr>
          <w:ilvl w:val="0"/>
          <w:numId w:val="1"/>
        </w:numPr>
        <w:spacing w:after="100" w:line="280"/>
      </w:pPr>
      <w:r>
        <w:rPr>
          <w:b/>
          <w:bCs/>
          <w:color w:val="1F3B57"/>
          <w:sz w:val="22"/>
          <w:szCs w:val="22"/>
        </w:rPr>
        <w:t xml:space="preserve">1 in 5 customers (20.4%) </w:t>
      </w:r>
      <w:r>
        <w:rPr>
          <w:sz w:val="22"/>
          <w:szCs w:val="22"/>
        </w:rPr>
        <w:t xml:space="preserve">in the sample had churned, consistent with typical retail banking attrition.</w:t>
      </w:r>
    </w:p>
    <w:p>
      <w:pPr>
        <w:pStyle w:val="ListParagraph"/>
        <w:numPr>
          <w:ilvl w:val="0"/>
          <w:numId w:val="1"/>
        </w:numPr>
        <w:spacing w:after="100" w:line="280"/>
      </w:pPr>
      <w:r>
        <w:rPr>
          <w:b/>
          <w:bCs/>
          <w:color w:val="1F3B57"/>
          <w:sz w:val="22"/>
          <w:szCs w:val="22"/>
        </w:rPr>
        <w:t xml:space="preserve">87% separation accuracy </w:t>
      </w:r>
      <w:r>
        <w:rPr>
          <w:sz w:val="22"/>
          <w:szCs w:val="22"/>
        </w:rPr>
        <w:t xml:space="preserve">— the model correctly separates churners from retained customers 87% of the time (ROC-AUC 0.870), a level of accuracy that is stable across repeated validation, not a one-off result.</w:t>
      </w:r>
    </w:p>
    <w:p>
      <w:pPr>
        <w:pStyle w:val="ListParagraph"/>
        <w:numPr>
          <w:ilvl w:val="0"/>
          <w:numId w:val="1"/>
        </w:numPr>
        <w:spacing w:after="100" w:line="280"/>
      </w:pPr>
      <w:r>
        <w:rPr>
          <w:b/>
          <w:bCs/>
          <w:color w:val="1F3B57"/>
          <w:sz w:val="22"/>
          <w:szCs w:val="22"/>
        </w:rPr>
        <w:t xml:space="preserve">Product count is the strongest driver, and it is fixable. </w:t>
      </w:r>
      <w:r>
        <w:rPr>
          <w:sz w:val="22"/>
          <w:szCs w:val="22"/>
        </w:rPr>
        <w:t xml:space="preserve">Customers holding exactly two bank products are the most loyal segment in the portfolio (7.6% churn); customers pushed to three or four products churn at 83–100%. This is a strong signal that over-selling, rather than genuine multi-product loyalty, is driving attrition — an internal process issue, not an external market pressure.</w:t>
      </w:r>
    </w:p>
    <w:p>
      <w:pPr>
        <w:pStyle w:val="ListParagraph"/>
        <w:numPr>
          <w:ilvl w:val="0"/>
          <w:numId w:val="1"/>
        </w:numPr>
        <w:spacing w:after="100" w:line="280"/>
      </w:pPr>
      <w:r>
        <w:rPr>
          <w:b/>
          <w:bCs/>
          <w:color w:val="1F3B57"/>
          <w:sz w:val="22"/>
          <w:szCs w:val="22"/>
        </w:rPr>
        <w:t xml:space="preserve">Disengagement nearly doubles churn </w:t>
      </w:r>
      <w:r>
        <w:rPr>
          <w:sz w:val="22"/>
          <w:szCs w:val="22"/>
        </w:rPr>
        <w:t xml:space="preserve">— disengaged customers churn at nearly twice the rate of engaged ones (26.9% vs. 14.3%), making engagement outreach one of the lowest-cost, highest-return retention levers available.</w:t>
      </w:r>
    </w:p>
    <w:p>
      <w:pPr>
        <w:pStyle w:val="ListParagraph"/>
        <w:numPr>
          <w:ilvl w:val="0"/>
          <w:numId w:val="1"/>
        </w:numPr>
        <w:spacing w:after="100" w:line="280"/>
      </w:pPr>
      <w:r>
        <w:rPr>
          <w:b/>
          <w:bCs/>
          <w:color w:val="1F3B57"/>
          <w:sz w:val="22"/>
          <w:szCs w:val="22"/>
        </w:rPr>
        <w:t xml:space="preserve">Churn concentrates in mid-to-late career customers, </w:t>
      </w:r>
      <w:r>
        <w:rPr>
          <w:sz w:val="22"/>
          <w:szCs w:val="22"/>
        </w:rPr>
        <w:t xml:space="preserve">peaking at 56% in the 51–60 age band — a life-stage pattern (e.g., pre-retirement financial consolidation) rather than a random distribution.</w:t>
      </w:r>
    </w:p>
    <w:p>
      <w:pPr>
        <w:pStyle w:val="ListParagraph"/>
        <w:numPr>
          <w:ilvl w:val="0"/>
          <w:numId w:val="1"/>
        </w:numPr>
        <w:spacing w:after="100" w:line="280"/>
      </w:pPr>
      <w:r>
        <w:rPr>
          <w:b/>
          <w:bCs/>
          <w:color w:val="1F3B57"/>
          <w:sz w:val="22"/>
          <w:szCs w:val="22"/>
        </w:rPr>
        <w:t xml:space="preserve">Germany churns at roughly double the rate </w:t>
      </w:r>
      <w:r>
        <w:rPr>
          <w:sz w:val="22"/>
          <w:szCs w:val="22"/>
        </w:rPr>
        <w:t xml:space="preserve">of France and Spain (32.4% vs. ~16%) on an otherwise comparable product set, indicating a market-specific service or competitiveness gap warranting local review.</w:t>
      </w:r>
    </w:p>
    <w:p>
      <w:pPr>
        <w:pStyle w:val="Heading1"/>
        <w:pBdr>
          <w:bottom w:val="single" w:color="1F3B57" w:sz="6" w:space="4"/>
        </w:pBdr>
        <w:spacing w:after="160" w:before="320"/>
      </w:pPr>
      <w:r>
        <w:rPr>
          <w:b/>
          <w:bCs/>
          <w:color w:val="1F3B57"/>
          <w:sz w:val="30"/>
          <w:szCs w:val="30"/>
        </w:rPr>
        <w:t xml:space="preserve">Recommendations</w:t>
      </w:r>
    </w:p>
    <w:p>
      <w:pPr>
        <w:pStyle w:val="ListParagraph"/>
        <w:numPr>
          <w:ilvl w:val="0"/>
          <w:numId w:val="2"/>
        </w:numPr>
        <w:spacing w:after="100" w:line="280"/>
      </w:pPr>
      <w:r>
        <w:rPr>
          <w:b/>
          <w:bCs/>
          <w:sz w:val="22"/>
          <w:szCs w:val="22"/>
        </w:rPr>
        <w:t xml:space="preserve">Halt indiscriminate product cross-selling </w:t>
      </w:r>
      <w:r>
        <w:rPr>
          <w:sz w:val="22"/>
          <w:szCs w:val="22"/>
        </w:rPr>
        <w:t xml:space="preserve">beyond two products per customer without a validated need — this single change addresses the largest churn driver identified.</w:t>
      </w:r>
    </w:p>
    <w:p>
      <w:pPr>
        <w:pStyle w:val="ListParagraph"/>
        <w:numPr>
          <w:ilvl w:val="0"/>
          <w:numId w:val="2"/>
        </w:numPr>
        <w:spacing w:after="100" w:line="280"/>
      </w:pPr>
      <w:r>
        <w:rPr>
          <w:b/>
          <w:bCs/>
          <w:sz w:val="22"/>
          <w:szCs w:val="22"/>
        </w:rPr>
        <w:t xml:space="preserve">Commission a market-specific review of the German retail business, </w:t>
      </w:r>
      <w:r>
        <w:rPr>
          <w:sz w:val="22"/>
          <w:szCs w:val="22"/>
        </w:rPr>
        <w:t xml:space="preserve">where churn is structurally higher than in comparable markets.</w:t>
      </w:r>
    </w:p>
    <w:p>
      <w:pPr>
        <w:pStyle w:val="ListParagraph"/>
        <w:numPr>
          <w:ilvl w:val="0"/>
          <w:numId w:val="2"/>
        </w:numPr>
        <w:spacing w:after="100" w:line="280"/>
      </w:pPr>
      <w:r>
        <w:rPr>
          <w:b/>
          <w:bCs/>
          <w:sz w:val="22"/>
          <w:szCs w:val="22"/>
        </w:rPr>
        <w:t xml:space="preserve">Invest in low-cost engagement/reactivation programs </w:t>
      </w:r>
      <w:r>
        <w:rPr>
          <w:sz w:val="22"/>
          <w:szCs w:val="22"/>
        </w:rPr>
        <w:t xml:space="preserve">ahead of high-cost retention offers, given the strong link between inactivity and churn.</w:t>
      </w:r>
    </w:p>
    <w:p>
      <w:pPr>
        <w:pStyle w:val="ListParagraph"/>
        <w:numPr>
          <w:ilvl w:val="0"/>
          <w:numId w:val="2"/>
        </w:numPr>
        <w:spacing w:after="100" w:line="280"/>
      </w:pPr>
      <w:r>
        <w:rPr>
          <w:b/>
          <w:bCs/>
          <w:sz w:val="22"/>
          <w:szCs w:val="22"/>
        </w:rPr>
        <w:t xml:space="preserve">Route retention spend by risk tier, </w:t>
      </w:r>
      <w:r>
        <w:rPr>
          <w:sz w:val="22"/>
          <w:szCs w:val="22"/>
        </w:rPr>
        <w:t xml:space="preserve">using the model's probability score: broad, low-cost nudges for the medium-risk population; higher-touch, higher-cost outreach reserved for the smaller, high-confidence high-risk segment.</w:t>
      </w:r>
    </w:p>
    <w:p>
      <w:pPr>
        <w:pStyle w:val="ListParagraph"/>
        <w:numPr>
          <w:ilvl w:val="0"/>
          <w:numId w:val="2"/>
        </w:numPr>
        <w:spacing w:after="200" w:line="280"/>
      </w:pPr>
      <w:r>
        <w:rPr>
          <w:b/>
          <w:bCs/>
          <w:sz w:val="22"/>
          <w:szCs w:val="22"/>
        </w:rPr>
        <w:t xml:space="preserve">Adopt the risk-scoring dashboard </w:t>
      </w:r>
      <w:r>
        <w:rPr>
          <w:sz w:val="22"/>
          <w:szCs w:val="22"/>
        </w:rPr>
        <w:t xml:space="preserve">as a standing decision-support tool for the retention function, with the model refreshed on a recurring cadence as new customer data accrues.</w:t>
      </w:r>
    </w:p>
    <w:p>
      <w:pPr>
        <w:pStyle w:val="Heading1"/>
        <w:pBdr>
          <w:bottom w:val="single" w:color="1F3B57" w:sz="6" w:space="4"/>
        </w:pBdr>
        <w:spacing w:after="160" w:before="320"/>
      </w:pPr>
      <w:r>
        <w:rPr>
          <w:b/>
          <w:bCs/>
          <w:color w:val="1F3B57"/>
          <w:sz w:val="30"/>
          <w:szCs w:val="30"/>
        </w:rPr>
        <w:t xml:space="preserve">Governance and Explainability</w:t>
      </w:r>
    </w:p>
    <w:p>
      <w:pPr>
        <w:spacing w:after="180" w:line="300"/>
      </w:pPr>
      <w:r>
        <w:rPr>
          <w:sz w:val="22"/>
          <w:szCs w:val="22"/>
        </w:rPr>
        <w:t xml:space="preserve">Every prediction produced by this system is accompanied by an explanation of the customer attributes that contributed to it, generated using SHAP (SHapley Additive exPlanations), an established, auditable method for model interpretability. This ensures retention decisions informed by the model can be reviewed and justified — a baseline expectation for any automated scoring system used in a regulated financial institution.</w:t>
      </w:r>
    </w:p>
    <w:p>
      <w:pPr>
        <w:pStyle w:val="Heading1"/>
        <w:pBdr>
          <w:bottom w:val="single" w:color="1F3B57" w:sz="6" w:space="4"/>
        </w:pBdr>
        <w:spacing w:after="160" w:before="320"/>
      </w:pPr>
      <w:r>
        <w:rPr>
          <w:b/>
          <w:bCs/>
          <w:color w:val="1F3B57"/>
          <w:sz w:val="30"/>
          <w:szCs w:val="30"/>
        </w:rPr>
        <w:t xml:space="preserve">Bottom Line</w:t>
      </w:r>
    </w:p>
    <w:p>
      <w:pPr>
        <w:spacing w:after="180" w:line="300"/>
      </w:pPr>
      <w:r>
        <w:rPr>
          <w:sz w:val="22"/>
          <w:szCs w:val="22"/>
        </w:rPr>
        <w:t xml:space="preserve">Churn in this portfolio is driven primarily by internal, controllable factors — product-fit and engagement — rather than by uncontrollable customer demographics. That is the most actionable finding in this analysis: </w:t>
      </w:r>
      <w:r>
        <w:rPr>
          <w:b/>
          <w:bCs/>
          <w:i/>
          <w:iCs/>
          <w:sz w:val="22"/>
          <w:szCs w:val="22"/>
        </w:rPr>
        <w:t xml:space="preserve">the bank has more influence over its churn rate than a purely demographic view of the problem would suggest.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Bank Customer Churn —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2026-08-09T04:38:27.717Z</dcterms:created>
  <dcterms:modified xsi:type="dcterms:W3CDTF">2026-08-09T04:38:27.733Z</dcterms:modified>
</cp:coreProperties>
</file>

<file path=docProps/custom.xml><?xml version="1.0" encoding="utf-8"?>
<Properties xmlns="http://schemas.openxmlformats.org/officeDocument/2006/custom-properties" xmlns:vt="http://schemas.openxmlformats.org/officeDocument/2006/docPropsVTypes"/>
</file>