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b/>
          <w:bCs/>
          <w:color w:val="1F3B57"/>
          <w:sz w:val="40"/>
          <w:szCs w:val="40"/>
        </w:rPr>
        <w:t xml:space="preserve">PREDICTIVE MODELING AND RISK SCORING</w:t>
      </w:r>
    </w:p>
    <w:p>
      <w:pPr>
        <w:spacing w:after="300"/>
        <w:jc w:val="center"/>
      </w:pPr>
      <w:r>
        <w:rPr>
          <w:b/>
          <w:bCs/>
          <w:color w:val="1F3B57"/>
          <w:sz w:val="40"/>
          <w:szCs w:val="40"/>
        </w:rPr>
        <w:t xml:space="preserve">FOR BANK CUSTOMER CHURN</w:t>
      </w:r>
    </w:p>
    <w:p>
      <w:pPr>
        <w:spacing w:after="500"/>
        <w:jc w:val="center"/>
      </w:pPr>
      <w:r>
        <w:rPr>
          <w:i/>
          <w:iCs/>
          <w:color w:val="C8102E"/>
          <w:sz w:val="26"/>
          <w:szCs w:val="26"/>
        </w:rPr>
        <w:t xml:space="preserve">A Churn Intelligence System for Retail Banking</w:t>
      </w:r>
    </w:p>
    <w:p>
      <w:pPr>
        <w:spacing w:after="100"/>
        <w:jc w:val="center"/>
      </w:pPr>
      <w:r>
        <w:rPr>
          <w:color w:val="595959"/>
          <w:sz w:val="22"/>
          <w:szCs w:val="22"/>
        </w:rPr>
        <w:t xml:space="preserve">Prepared for: Unified Mentor / The European Central Bank engagement context</w:t>
      </w:r>
    </w:p>
    <w:p>
      <w:pPr>
        <w:spacing w:after="100"/>
        <w:jc w:val="center"/>
      </w:pPr>
      <w:r>
        <w:rPr>
          <w:color w:val="595959"/>
          <w:sz w:val="22"/>
          <w:szCs w:val="22"/>
        </w:rPr>
        <w:t xml:space="preserve">Dataset: European_Bank.csv (10,000 retail banking customers)</w:t>
      </w:r>
    </w:p>
    <w:p>
      <w:pPr>
        <w:spacing w:before="1200"/>
      </w:pPr>
    </w:p>
    <w:p>
      <w:pPr>
        <w:sectPr>
          <w:pgSz w:w="12240" w:h="15840" w:orient="portrait"/>
          <w:pgMar w:top="1080" w:right="1440" w:bottom="1080" w:left="1440" w:header="708" w:footer="708" w:gutter="0"/>
          <w:pgNumType/>
          <w:docGrid w:linePitch="360"/>
        </w:sectPr>
      </w:pPr>
    </w:p>
    <w:p>
      <w:pPr>
        <w:pStyle w:val="Heading1"/>
        <w:pBdr>
          <w:bottom w:val="single" w:color="1F3B57" w:sz="6" w:space="4"/>
        </w:pBdr>
        <w:spacing w:after="160" w:before="360"/>
      </w:pPr>
      <w:r>
        <w:rPr>
          <w:b/>
          <w:bCs/>
          <w:color w:val="1F3B57"/>
          <w:sz w:val="28"/>
          <w:szCs w:val="28"/>
        </w:rPr>
        <w:t xml:space="preserve">1. Abstract</w:t>
      </w:r>
    </w:p>
    <w:p>
      <w:pPr>
        <w:spacing w:after="160" w:line="300"/>
      </w:pPr>
      <w:r>
        <w:rPr>
          <w:sz w:val="21"/>
          <w:szCs w:val="21"/>
        </w:rPr>
        <w:t xml:space="preserve">Customer churn erodes Customer Lifetime Value, destabilizes revenue, and closes off cross-sell opportunities. This paper develops a predictive churn intelligence system for a European retail bank that assigns each customer a calibrated churn probability, flags high-risk accounts before they leave, and explains why a customer is at risk in terms a retention team can act on.</w:t>
      </w:r>
    </w:p>
    <w:p>
      <w:pPr>
        <w:spacing w:after="160" w:line="300"/>
      </w:pPr>
      <w:r>
        <w:rPr>
          <w:sz w:val="21"/>
          <w:szCs w:val="21"/>
        </w:rPr>
        <w:t xml:space="preserve">Five models were benchmarked — Logistic Regression, Decision Tree, Random Forest, Gradient Boosting, and XGBoost — on a stratified 80/20 split of 10,000 customers with a 20.4% base churn rate. The best-performing model, </w:t>
      </w:r>
      <w:r>
        <w:rPr>
          <w:b/>
          <w:bCs/>
          <w:sz w:val="21"/>
          <w:szCs w:val="21"/>
        </w:rPr>
        <w:t xml:space="preserve">Gradient Boosting</w:t>
      </w:r>
      <w:r>
        <w:rPr>
          <w:sz w:val="21"/>
          <w:szCs w:val="21"/>
        </w:rPr>
        <w:t xml:space="preserve">, achieves </w:t>
      </w:r>
      <w:r>
        <w:rPr>
          <w:b/>
          <w:bCs/>
          <w:sz w:val="21"/>
          <w:szCs w:val="21"/>
        </w:rPr>
        <w:t xml:space="preserve">87.2% accuracy, 79.4% precision, 50.1% recall, and 0.870 ROC-AUC</w:t>
      </w:r>
      <w:r>
        <w:rPr>
          <w:sz w:val="21"/>
          <w:szCs w:val="21"/>
        </w:rPr>
        <w:t xml:space="preserve">, with 5-fold cross-validated ROC-AUC of 0.864 ± 0.009, confirming the result is stable rather than a split artifact. XGBoost was competitive (0.862 test ROC-AUC) but did not surpass it.</w:t>
      </w:r>
    </w:p>
    <w:p>
      <w:pPr>
        <w:spacing w:after="160" w:line="300"/>
      </w:pPr>
      <w:r>
        <w:rPr>
          <w:sz w:val="21"/>
          <w:szCs w:val="21"/>
        </w:rPr>
        <w:t xml:space="preserve">SHAP analysis identifies </w:t>
      </w:r>
      <w:r>
        <w:rPr>
          <w:b/>
          <w:bCs/>
          <w:sz w:val="21"/>
          <w:szCs w:val="21"/>
        </w:rPr>
        <w:t xml:space="preserve">number of products held, customer age, geography (Germany), and account engagement</w:t>
      </w:r>
      <w:r>
        <w:rPr>
          <w:sz w:val="21"/>
          <w:szCs w:val="21"/>
        </w:rPr>
        <w:t xml:space="preserve"> as the dominant churn drivers, reframing churn from a demographic problem into a relationship-strength and product-fit problem.</w:t>
      </w:r>
    </w:p>
    <w:p>
      <w:pPr>
        <w:pStyle w:val="Heading1"/>
        <w:pBdr>
          <w:bottom w:val="single" w:color="1F3B57" w:sz="6" w:space="4"/>
        </w:pBdr>
        <w:spacing w:after="160" w:before="360"/>
      </w:pPr>
      <w:r>
        <w:rPr>
          <w:b/>
          <w:bCs/>
          <w:color w:val="1F3B57"/>
          <w:sz w:val="28"/>
          <w:szCs w:val="28"/>
        </w:rPr>
        <w:t xml:space="preserve">2. Background and Problem Statement</w:t>
      </w:r>
    </w:p>
    <w:p>
      <w:pPr>
        <w:spacing w:after="160" w:line="300"/>
      </w:pPr>
      <w:r>
        <w:rPr>
          <w:sz w:val="21"/>
          <w:szCs w:val="21"/>
        </w:rPr>
        <w:t xml:space="preserve">Retail banks hold rich customer-level data but typically lack (a) accurate churn prediction models, (b) quantitative churn risk scores, and (c) explainable insight into why a customer is at risk. Without these, retention programs are reactive (triggered only after a customer has already left or complained), broad (blanket retention offers sent to the entire base), and inefficient (marketing spend not targeted at customers who are both at-risk and salvageable).</w:t>
      </w:r>
    </w:p>
    <w:p>
      <w:pPr>
        <w:spacing w:after="160" w:line="300"/>
      </w:pPr>
      <w:r>
        <w:rPr>
          <w:sz w:val="21"/>
          <w:szCs w:val="21"/>
        </w:rPr>
        <w:t xml:space="preserve">This project builds a system that scores every customer's churn probability before they churn, using only information the bank already has in its core banking system, and exposes the model's reasoning so retention actions can be personalized and justified — a requirement for both business trust and regulatory explainability standards.</w:t>
      </w:r>
    </w:p>
    <w:p>
      <w:pPr>
        <w:pStyle w:val="Heading1"/>
        <w:pBdr>
          <w:bottom w:val="single" w:color="1F3B57" w:sz="6" w:space="4"/>
        </w:pBdr>
        <w:spacing w:after="160" w:before="360"/>
      </w:pPr>
      <w:r>
        <w:rPr>
          <w:b/>
          <w:bCs/>
          <w:color w:val="1F3B57"/>
          <w:sz w:val="28"/>
          <w:szCs w:val="28"/>
        </w:rPr>
        <w:t xml:space="preserve">3. Dataset Description</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500"/>
        <w:gridCol w:w="6860"/>
      </w:tblGrid>
      <w:tr>
        <w:trPr>
          <w:tblHeader/>
        </w:trPr>
        <w:tc>
          <w:tcPr>
            <w:tcW w:type="dxa" w:w="2500"/>
            <w:shd w:fill="1F3B57"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6860"/>
            <w:shd w:fill="1F3B57"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500"/>
            <w:shd w:fill="FFFFFF" w:val="clear"/>
            <w:tcMar>
              <w:top w:type="dxa" w:w="60"/>
              <w:left w:type="dxa" w:w="100"/>
              <w:bottom w:type="dxa" w:w="60"/>
              <w:right w:type="dxa" w:w="100"/>
            </w:tcMar>
            <w:vAlign w:val="center"/>
          </w:tcPr>
          <w:p>
            <w:r>
              <w:rPr>
                <w:b/>
                <w:bCs/>
                <w:sz w:val="19"/>
                <w:szCs w:val="19"/>
              </w:rPr>
              <w:t xml:space="preserve">CustomerId</w:t>
            </w:r>
          </w:p>
        </w:tc>
        <w:tc>
          <w:tcPr>
            <w:tcW w:type="dxa" w:w="6860"/>
            <w:shd w:fill="FFFFFF" w:val="clear"/>
            <w:tcMar>
              <w:top w:type="dxa" w:w="60"/>
              <w:left w:type="dxa" w:w="100"/>
              <w:bottom w:type="dxa" w:w="60"/>
              <w:right w:type="dxa" w:w="100"/>
            </w:tcMar>
            <w:vAlign w:val="center"/>
          </w:tcPr>
          <w:p>
            <w:r>
              <w:rPr>
                <w:b w:val="false"/>
                <w:bCs w:val="false"/>
                <w:sz w:val="19"/>
                <w:szCs w:val="19"/>
              </w:rPr>
              <w:t xml:space="preserve">Unique customer identifier (dropped — non-informative for modeling)</w:t>
            </w:r>
          </w:p>
        </w:tc>
      </w:tr>
      <w:tr>
        <w:tc>
          <w:tcPr>
            <w:tcW w:type="dxa" w:w="2500"/>
            <w:shd w:fill="EDF1F5" w:val="clear"/>
            <w:tcMar>
              <w:top w:type="dxa" w:w="60"/>
              <w:left w:type="dxa" w:w="100"/>
              <w:bottom w:type="dxa" w:w="60"/>
              <w:right w:type="dxa" w:w="100"/>
            </w:tcMar>
            <w:vAlign w:val="center"/>
          </w:tcPr>
          <w:p>
            <w:r>
              <w:rPr>
                <w:b/>
                <w:bCs/>
                <w:sz w:val="19"/>
                <w:szCs w:val="19"/>
              </w:rPr>
              <w:t xml:space="preserve">Surname</w:t>
            </w:r>
          </w:p>
        </w:tc>
        <w:tc>
          <w:tcPr>
            <w:tcW w:type="dxa" w:w="6860"/>
            <w:shd w:fill="EDF1F5" w:val="clear"/>
            <w:tcMar>
              <w:top w:type="dxa" w:w="60"/>
              <w:left w:type="dxa" w:w="100"/>
              <w:bottom w:type="dxa" w:w="60"/>
              <w:right w:type="dxa" w:w="100"/>
            </w:tcMar>
            <w:vAlign w:val="center"/>
          </w:tcPr>
          <w:p>
            <w:r>
              <w:rPr>
                <w:b w:val="false"/>
                <w:bCs w:val="false"/>
                <w:sz w:val="19"/>
                <w:szCs w:val="19"/>
              </w:rPr>
              <w:t xml:space="preserve">Customer surname (dropped — non-informative, risk of proxy bias)</w:t>
            </w:r>
          </w:p>
        </w:tc>
      </w:tr>
      <w:tr>
        <w:tc>
          <w:tcPr>
            <w:tcW w:type="dxa" w:w="2500"/>
            <w:shd w:fill="FFFFFF" w:val="clear"/>
            <w:tcMar>
              <w:top w:type="dxa" w:w="60"/>
              <w:left w:type="dxa" w:w="100"/>
              <w:bottom w:type="dxa" w:w="60"/>
              <w:right w:type="dxa" w:w="100"/>
            </w:tcMar>
            <w:vAlign w:val="center"/>
          </w:tcPr>
          <w:p>
            <w:r>
              <w:rPr>
                <w:b/>
                <w:bCs/>
                <w:sz w:val="19"/>
                <w:szCs w:val="19"/>
              </w:rPr>
              <w:t xml:space="preserve">CreditScore</w:t>
            </w:r>
          </w:p>
        </w:tc>
        <w:tc>
          <w:tcPr>
            <w:tcW w:type="dxa" w:w="6860"/>
            <w:shd w:fill="FFFFFF" w:val="clear"/>
            <w:tcMar>
              <w:top w:type="dxa" w:w="60"/>
              <w:left w:type="dxa" w:w="100"/>
              <w:bottom w:type="dxa" w:w="60"/>
              <w:right w:type="dxa" w:w="100"/>
            </w:tcMar>
            <w:vAlign w:val="center"/>
          </w:tcPr>
          <w:p>
            <w:r>
              <w:rPr>
                <w:b w:val="false"/>
                <w:bCs w:val="false"/>
                <w:sz w:val="19"/>
                <w:szCs w:val="19"/>
              </w:rPr>
              <w:t xml:space="preserve">Customer creditworthiness (300–900)</w:t>
            </w:r>
          </w:p>
        </w:tc>
      </w:tr>
      <w:tr>
        <w:tc>
          <w:tcPr>
            <w:tcW w:type="dxa" w:w="2500"/>
            <w:shd w:fill="EDF1F5" w:val="clear"/>
            <w:tcMar>
              <w:top w:type="dxa" w:w="60"/>
              <w:left w:type="dxa" w:w="100"/>
              <w:bottom w:type="dxa" w:w="60"/>
              <w:right w:type="dxa" w:w="100"/>
            </w:tcMar>
            <w:vAlign w:val="center"/>
          </w:tcPr>
          <w:p>
            <w:r>
              <w:rPr>
                <w:b/>
                <w:bCs/>
                <w:sz w:val="19"/>
                <w:szCs w:val="19"/>
              </w:rPr>
              <w:t xml:space="preserve">Geography</w:t>
            </w:r>
          </w:p>
        </w:tc>
        <w:tc>
          <w:tcPr>
            <w:tcW w:type="dxa" w:w="6860"/>
            <w:shd w:fill="EDF1F5" w:val="clear"/>
            <w:tcMar>
              <w:top w:type="dxa" w:w="60"/>
              <w:left w:type="dxa" w:w="100"/>
              <w:bottom w:type="dxa" w:w="60"/>
              <w:right w:type="dxa" w:w="100"/>
            </w:tcMar>
            <w:vAlign w:val="center"/>
          </w:tcPr>
          <w:p>
            <w:r>
              <w:rPr>
                <w:b w:val="false"/>
                <w:bCs w:val="false"/>
                <w:sz w:val="19"/>
                <w:szCs w:val="19"/>
              </w:rPr>
              <w:t xml:space="preserve">France, Spain, Germany</w:t>
            </w:r>
          </w:p>
        </w:tc>
      </w:tr>
      <w:tr>
        <w:tc>
          <w:tcPr>
            <w:tcW w:type="dxa" w:w="2500"/>
            <w:shd w:fill="FFFFFF" w:val="clear"/>
            <w:tcMar>
              <w:top w:type="dxa" w:w="60"/>
              <w:left w:type="dxa" w:w="100"/>
              <w:bottom w:type="dxa" w:w="60"/>
              <w:right w:type="dxa" w:w="100"/>
            </w:tcMar>
            <w:vAlign w:val="center"/>
          </w:tcPr>
          <w:p>
            <w:r>
              <w:rPr>
                <w:b/>
                <w:bCs/>
                <w:sz w:val="19"/>
                <w:szCs w:val="19"/>
              </w:rPr>
              <w:t xml:space="preserve">Gender</w:t>
            </w:r>
          </w:p>
        </w:tc>
        <w:tc>
          <w:tcPr>
            <w:tcW w:type="dxa" w:w="6860"/>
            <w:shd w:fill="FFFFFF" w:val="clear"/>
            <w:tcMar>
              <w:top w:type="dxa" w:w="60"/>
              <w:left w:type="dxa" w:w="100"/>
              <w:bottom w:type="dxa" w:w="60"/>
              <w:right w:type="dxa" w:w="100"/>
            </w:tcMar>
            <w:vAlign w:val="center"/>
          </w:tcPr>
          <w:p>
            <w:r>
              <w:rPr>
                <w:b w:val="false"/>
                <w:bCs w:val="false"/>
                <w:sz w:val="19"/>
                <w:szCs w:val="19"/>
              </w:rPr>
              <w:t xml:space="preserve">Male / Female</w:t>
            </w:r>
          </w:p>
        </w:tc>
      </w:tr>
      <w:tr>
        <w:tc>
          <w:tcPr>
            <w:tcW w:type="dxa" w:w="2500"/>
            <w:shd w:fill="EDF1F5" w:val="clear"/>
            <w:tcMar>
              <w:top w:type="dxa" w:w="60"/>
              <w:left w:type="dxa" w:w="100"/>
              <w:bottom w:type="dxa" w:w="60"/>
              <w:right w:type="dxa" w:w="100"/>
            </w:tcMar>
            <w:vAlign w:val="center"/>
          </w:tcPr>
          <w:p>
            <w:r>
              <w:rPr>
                <w:b/>
                <w:bCs/>
                <w:sz w:val="19"/>
                <w:szCs w:val="19"/>
              </w:rPr>
              <w:t xml:space="preserve">Age</w:t>
            </w:r>
          </w:p>
        </w:tc>
        <w:tc>
          <w:tcPr>
            <w:tcW w:type="dxa" w:w="6860"/>
            <w:shd w:fill="EDF1F5" w:val="clear"/>
            <w:tcMar>
              <w:top w:type="dxa" w:w="60"/>
              <w:left w:type="dxa" w:w="100"/>
              <w:bottom w:type="dxa" w:w="60"/>
              <w:right w:type="dxa" w:w="100"/>
            </w:tcMar>
            <w:vAlign w:val="center"/>
          </w:tcPr>
          <w:p>
            <w:r>
              <w:rPr>
                <w:b w:val="false"/>
                <w:bCs w:val="false"/>
                <w:sz w:val="19"/>
                <w:szCs w:val="19"/>
              </w:rPr>
              <w:t xml:space="preserve">Customer age</w:t>
            </w:r>
          </w:p>
        </w:tc>
      </w:tr>
      <w:tr>
        <w:tc>
          <w:tcPr>
            <w:tcW w:type="dxa" w:w="2500"/>
            <w:shd w:fill="FFFFFF" w:val="clear"/>
            <w:tcMar>
              <w:top w:type="dxa" w:w="60"/>
              <w:left w:type="dxa" w:w="100"/>
              <w:bottom w:type="dxa" w:w="60"/>
              <w:right w:type="dxa" w:w="100"/>
            </w:tcMar>
            <w:vAlign w:val="center"/>
          </w:tcPr>
          <w:p>
            <w:r>
              <w:rPr>
                <w:b/>
                <w:bCs/>
                <w:sz w:val="19"/>
                <w:szCs w:val="19"/>
              </w:rPr>
              <w:t xml:space="preserve">Tenure</w:t>
            </w:r>
          </w:p>
        </w:tc>
        <w:tc>
          <w:tcPr>
            <w:tcW w:type="dxa" w:w="6860"/>
            <w:shd w:fill="FFFFFF" w:val="clear"/>
            <w:tcMar>
              <w:top w:type="dxa" w:w="60"/>
              <w:left w:type="dxa" w:w="100"/>
              <w:bottom w:type="dxa" w:w="60"/>
              <w:right w:type="dxa" w:w="100"/>
            </w:tcMar>
            <w:vAlign w:val="center"/>
          </w:tcPr>
          <w:p>
            <w:r>
              <w:rPr>
                <w:b w:val="false"/>
                <w:bCs w:val="false"/>
                <w:sz w:val="19"/>
                <w:szCs w:val="19"/>
              </w:rPr>
              <w:t xml:space="preserve">Years with the bank</w:t>
            </w:r>
          </w:p>
        </w:tc>
      </w:tr>
      <w:tr>
        <w:tc>
          <w:tcPr>
            <w:tcW w:type="dxa" w:w="2500"/>
            <w:shd w:fill="EDF1F5" w:val="clear"/>
            <w:tcMar>
              <w:top w:type="dxa" w:w="60"/>
              <w:left w:type="dxa" w:w="100"/>
              <w:bottom w:type="dxa" w:w="60"/>
              <w:right w:type="dxa" w:w="100"/>
            </w:tcMar>
            <w:vAlign w:val="center"/>
          </w:tcPr>
          <w:p>
            <w:r>
              <w:rPr>
                <w:b/>
                <w:bCs/>
                <w:sz w:val="19"/>
                <w:szCs w:val="19"/>
              </w:rPr>
              <w:t xml:space="preserve">Balance</w:t>
            </w:r>
          </w:p>
        </w:tc>
        <w:tc>
          <w:tcPr>
            <w:tcW w:type="dxa" w:w="6860"/>
            <w:shd w:fill="EDF1F5" w:val="clear"/>
            <w:tcMar>
              <w:top w:type="dxa" w:w="60"/>
              <w:left w:type="dxa" w:w="100"/>
              <w:bottom w:type="dxa" w:w="60"/>
              <w:right w:type="dxa" w:w="100"/>
            </w:tcMar>
            <w:vAlign w:val="center"/>
          </w:tcPr>
          <w:p>
            <w:r>
              <w:rPr>
                <w:b w:val="false"/>
                <w:bCs w:val="false"/>
                <w:sz w:val="19"/>
                <w:szCs w:val="19"/>
              </w:rPr>
              <w:t xml:space="preserve">Account balance</w:t>
            </w:r>
          </w:p>
        </w:tc>
      </w:tr>
      <w:tr>
        <w:tc>
          <w:tcPr>
            <w:tcW w:type="dxa" w:w="2500"/>
            <w:shd w:fill="FFFFFF" w:val="clear"/>
            <w:tcMar>
              <w:top w:type="dxa" w:w="60"/>
              <w:left w:type="dxa" w:w="100"/>
              <w:bottom w:type="dxa" w:w="60"/>
              <w:right w:type="dxa" w:w="100"/>
            </w:tcMar>
            <w:vAlign w:val="center"/>
          </w:tcPr>
          <w:p>
            <w:r>
              <w:rPr>
                <w:b/>
                <w:bCs/>
                <w:sz w:val="19"/>
                <w:szCs w:val="19"/>
              </w:rPr>
              <w:t xml:space="preserve">NumOfProducts</w:t>
            </w:r>
          </w:p>
        </w:tc>
        <w:tc>
          <w:tcPr>
            <w:tcW w:type="dxa" w:w="6860"/>
            <w:shd w:fill="FFFFFF" w:val="clear"/>
            <w:tcMar>
              <w:top w:type="dxa" w:w="60"/>
              <w:left w:type="dxa" w:w="100"/>
              <w:bottom w:type="dxa" w:w="60"/>
              <w:right w:type="dxa" w:w="100"/>
            </w:tcMar>
            <w:vAlign w:val="center"/>
          </w:tcPr>
          <w:p>
            <w:r>
              <w:rPr>
                <w:b w:val="false"/>
                <w:bCs w:val="false"/>
                <w:sz w:val="19"/>
                <w:szCs w:val="19"/>
              </w:rPr>
              <w:t xml:space="preserve">Number of bank products held (1–4)</w:t>
            </w:r>
          </w:p>
        </w:tc>
      </w:tr>
      <w:tr>
        <w:tc>
          <w:tcPr>
            <w:tcW w:type="dxa" w:w="2500"/>
            <w:shd w:fill="EDF1F5" w:val="clear"/>
            <w:tcMar>
              <w:top w:type="dxa" w:w="60"/>
              <w:left w:type="dxa" w:w="100"/>
              <w:bottom w:type="dxa" w:w="60"/>
              <w:right w:type="dxa" w:w="100"/>
            </w:tcMar>
            <w:vAlign w:val="center"/>
          </w:tcPr>
          <w:p>
            <w:r>
              <w:rPr>
                <w:b/>
                <w:bCs/>
                <w:sz w:val="19"/>
                <w:szCs w:val="19"/>
              </w:rPr>
              <w:t xml:space="preserve">HasCrCard</w:t>
            </w:r>
          </w:p>
        </w:tc>
        <w:tc>
          <w:tcPr>
            <w:tcW w:type="dxa" w:w="6860"/>
            <w:shd w:fill="EDF1F5" w:val="clear"/>
            <w:tcMar>
              <w:top w:type="dxa" w:w="60"/>
              <w:left w:type="dxa" w:w="100"/>
              <w:bottom w:type="dxa" w:w="60"/>
              <w:right w:type="dxa" w:w="100"/>
            </w:tcMar>
            <w:vAlign w:val="center"/>
          </w:tcPr>
          <w:p>
            <w:r>
              <w:rPr>
                <w:b w:val="false"/>
                <w:bCs w:val="false"/>
                <w:sz w:val="19"/>
                <w:szCs w:val="19"/>
              </w:rPr>
              <w:t xml:space="preserve">Credit card ownership (0/1)</w:t>
            </w:r>
          </w:p>
        </w:tc>
      </w:tr>
      <w:tr>
        <w:tc>
          <w:tcPr>
            <w:tcW w:type="dxa" w:w="2500"/>
            <w:shd w:fill="FFFFFF" w:val="clear"/>
            <w:tcMar>
              <w:top w:type="dxa" w:w="60"/>
              <w:left w:type="dxa" w:w="100"/>
              <w:bottom w:type="dxa" w:w="60"/>
              <w:right w:type="dxa" w:w="100"/>
            </w:tcMar>
            <w:vAlign w:val="center"/>
          </w:tcPr>
          <w:p>
            <w:r>
              <w:rPr>
                <w:b/>
                <w:bCs/>
                <w:sz w:val="19"/>
                <w:szCs w:val="19"/>
              </w:rPr>
              <w:t xml:space="preserve">IsActiveMember</w:t>
            </w:r>
          </w:p>
        </w:tc>
        <w:tc>
          <w:tcPr>
            <w:tcW w:type="dxa" w:w="6860"/>
            <w:shd w:fill="FFFFFF" w:val="clear"/>
            <w:tcMar>
              <w:top w:type="dxa" w:w="60"/>
              <w:left w:type="dxa" w:w="100"/>
              <w:bottom w:type="dxa" w:w="60"/>
              <w:right w:type="dxa" w:w="100"/>
            </w:tcMar>
            <w:vAlign w:val="center"/>
          </w:tcPr>
          <w:p>
            <w:r>
              <w:rPr>
                <w:b w:val="false"/>
                <w:bCs w:val="false"/>
                <w:sz w:val="19"/>
                <w:szCs w:val="19"/>
              </w:rPr>
              <w:t xml:space="preserve">Activity indicator (0/1)</w:t>
            </w:r>
          </w:p>
        </w:tc>
      </w:tr>
      <w:tr>
        <w:tc>
          <w:tcPr>
            <w:tcW w:type="dxa" w:w="2500"/>
            <w:shd w:fill="EDF1F5" w:val="clear"/>
            <w:tcMar>
              <w:top w:type="dxa" w:w="60"/>
              <w:left w:type="dxa" w:w="100"/>
              <w:bottom w:type="dxa" w:w="60"/>
              <w:right w:type="dxa" w:w="100"/>
            </w:tcMar>
            <w:vAlign w:val="center"/>
          </w:tcPr>
          <w:p>
            <w:r>
              <w:rPr>
                <w:b/>
                <w:bCs/>
                <w:sz w:val="19"/>
                <w:szCs w:val="19"/>
              </w:rPr>
              <w:t xml:space="preserve">EstimatedSalary</w:t>
            </w:r>
          </w:p>
        </w:tc>
        <w:tc>
          <w:tcPr>
            <w:tcW w:type="dxa" w:w="6860"/>
            <w:shd w:fill="EDF1F5" w:val="clear"/>
            <w:tcMar>
              <w:top w:type="dxa" w:w="60"/>
              <w:left w:type="dxa" w:w="100"/>
              <w:bottom w:type="dxa" w:w="60"/>
              <w:right w:type="dxa" w:w="100"/>
            </w:tcMar>
            <w:vAlign w:val="center"/>
          </w:tcPr>
          <w:p>
            <w:r>
              <w:rPr>
                <w:b w:val="false"/>
                <w:bCs w:val="false"/>
                <w:sz w:val="19"/>
                <w:szCs w:val="19"/>
              </w:rPr>
              <w:t xml:space="preserve">Estimated annual salary</w:t>
            </w:r>
          </w:p>
        </w:tc>
      </w:tr>
      <w:tr>
        <w:tc>
          <w:tcPr>
            <w:tcW w:type="dxa" w:w="2500"/>
            <w:shd w:fill="FFFFFF" w:val="clear"/>
            <w:tcMar>
              <w:top w:type="dxa" w:w="60"/>
              <w:left w:type="dxa" w:w="100"/>
              <w:bottom w:type="dxa" w:w="60"/>
              <w:right w:type="dxa" w:w="100"/>
            </w:tcMar>
            <w:vAlign w:val="center"/>
          </w:tcPr>
          <w:p>
            <w:r>
              <w:rPr>
                <w:b/>
                <w:bCs/>
                <w:sz w:val="19"/>
                <w:szCs w:val="19"/>
              </w:rPr>
              <w:t xml:space="preserve">Exited</w:t>
            </w:r>
          </w:p>
        </w:tc>
        <w:tc>
          <w:tcPr>
            <w:tcW w:type="dxa" w:w="6860"/>
            <w:shd w:fill="FFFFFF" w:val="clear"/>
            <w:tcMar>
              <w:top w:type="dxa" w:w="60"/>
              <w:left w:type="dxa" w:w="100"/>
              <w:bottom w:type="dxa" w:w="60"/>
              <w:right w:type="dxa" w:w="100"/>
            </w:tcMar>
            <w:vAlign w:val="center"/>
          </w:tcPr>
          <w:p>
            <w:r>
              <w:rPr>
                <w:b w:val="false"/>
                <w:bCs w:val="false"/>
                <w:sz w:val="19"/>
                <w:szCs w:val="19"/>
              </w:rPr>
              <w:t xml:space="preserve">Target: 1 = churned, 0 = retained</w:t>
            </w:r>
          </w:p>
        </w:tc>
      </w:tr>
    </w:tbl>
    <w:p>
      <w:pPr>
        <w:spacing w:after="200" w:before="40"/>
      </w:pPr>
      <w:r>
        <w:rPr>
          <w:i/>
          <w:iCs/>
          <w:color w:val="595959"/>
          <w:sz w:val="18"/>
          <w:szCs w:val="18"/>
        </w:rPr>
        <w:t xml:space="preserve">Table 1. Dataset schema — European_Bank.csv</w:t>
      </w:r>
    </w:p>
    <w:p>
      <w:pPr>
        <w:spacing w:after="160" w:line="300"/>
      </w:pPr>
      <w:r>
        <w:rPr>
          <w:sz w:val="21"/>
          <w:szCs w:val="21"/>
        </w:rPr>
        <w:t xml:space="preserve">The dataset contains 10,000 customers, no missing values, and no duplicate customer IDs. The target is moderately imbalanced: 20.37% churned, 79.63% retained.</w:t>
      </w:r>
    </w:p>
    <w:p>
      <w:pPr>
        <w:pStyle w:val="Heading1"/>
        <w:pBdr>
          <w:bottom w:val="single" w:color="1F3B57" w:sz="6" w:space="4"/>
        </w:pBdr>
        <w:spacing w:after="160" w:before="360"/>
      </w:pPr>
      <w:r>
        <w:rPr>
          <w:b/>
          <w:bCs/>
          <w:color w:val="1F3B57"/>
          <w:sz w:val="28"/>
          <w:szCs w:val="28"/>
        </w:rPr>
        <w:t xml:space="preserve">4. Exploratory Data Analysis — Key Findings</w:t>
      </w:r>
    </w:p>
    <w:p>
      <w:pPr>
        <w:spacing w:after="160" w:line="300"/>
      </w:pPr>
      <w:r>
        <w:rPr>
          <w:sz w:val="21"/>
          <w:szCs w:val="21"/>
        </w:rPr>
        <w:t xml:space="preserve">All figures below are computed directly from European_Bank.csv.</w:t>
      </w:r>
    </w:p>
    <w:p>
      <w:pPr>
        <w:pStyle w:val="Heading2"/>
        <w:spacing w:after="120" w:before="260"/>
      </w:pPr>
      <w:r>
        <w:rPr>
          <w:b/>
          <w:bCs/>
          <w:color w:val="1F3B57"/>
          <w:sz w:val="24"/>
          <w:szCs w:val="24"/>
        </w:rPr>
        <w:t xml:space="preserve">4.1 Geography</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120"/>
        <w:gridCol w:w="3120"/>
        <w:gridCol w:w="3120"/>
      </w:tblGrid>
      <w:tr>
        <w:trPr>
          <w:tblHeader/>
        </w:trPr>
        <w:tc>
          <w:tcPr>
            <w:tcW w:type="dxa" w:w="3120"/>
            <w:shd w:fill="1F3B57" w:val="clear"/>
            <w:tcMar>
              <w:top w:type="dxa" w:w="80"/>
              <w:left w:type="dxa" w:w="100"/>
              <w:bottom w:type="dxa" w:w="80"/>
              <w:right w:type="dxa" w:w="100"/>
            </w:tcMar>
            <w:vAlign w:val="center"/>
          </w:tcPr>
          <w:p>
            <w:pPr>
              <w:jc w:val="left"/>
            </w:pPr>
            <w:r>
              <w:rPr>
                <w:b/>
                <w:bCs/>
                <w:color w:val="FFFFFF"/>
                <w:sz w:val="19"/>
                <w:szCs w:val="19"/>
              </w:rPr>
              <w:t xml:space="preserve">Geography</w:t>
            </w:r>
          </w:p>
        </w:tc>
        <w:tc>
          <w:tcPr>
            <w:tcW w:type="dxa" w:w="3120"/>
            <w:shd w:fill="1F3B57" w:val="clear"/>
            <w:tcMar>
              <w:top w:type="dxa" w:w="80"/>
              <w:left w:type="dxa" w:w="100"/>
              <w:bottom w:type="dxa" w:w="80"/>
              <w:right w:type="dxa" w:w="100"/>
            </w:tcMar>
            <w:vAlign w:val="center"/>
          </w:tcPr>
          <w:p>
            <w:pPr>
              <w:jc w:val="left"/>
            </w:pPr>
            <w:r>
              <w:rPr>
                <w:b/>
                <w:bCs/>
                <w:color w:val="FFFFFF"/>
                <w:sz w:val="19"/>
                <w:szCs w:val="19"/>
              </w:rPr>
              <w:t xml:space="preserve">Churn Rate</w:t>
            </w:r>
          </w:p>
        </w:tc>
        <w:tc>
          <w:tcPr>
            <w:tcW w:type="dxa" w:w="3120"/>
            <w:shd w:fill="1F3B57" w:val="clear"/>
            <w:tcMar>
              <w:top w:type="dxa" w:w="80"/>
              <w:left w:type="dxa" w:w="100"/>
              <w:bottom w:type="dxa" w:w="80"/>
              <w:right w:type="dxa" w:w="100"/>
            </w:tcMar>
            <w:vAlign w:val="center"/>
          </w:tcPr>
          <w:p>
            <w:pPr>
              <w:jc w:val="left"/>
            </w:pPr>
            <w:r>
              <w:rPr>
                <w:b/>
                <w:bCs/>
                <w:color w:val="FFFFFF"/>
                <w:sz w:val="19"/>
                <w:szCs w:val="19"/>
              </w:rPr>
              <w:t xml:space="preserve">Customers</w:t>
            </w:r>
          </w:p>
        </w:tc>
      </w:tr>
      <w:tr>
        <w:tc>
          <w:tcPr>
            <w:tcW w:type="dxa" w:w="3120"/>
            <w:shd w:fill="FFFFFF" w:val="clear"/>
            <w:tcMar>
              <w:top w:type="dxa" w:w="60"/>
              <w:left w:type="dxa" w:w="100"/>
              <w:bottom w:type="dxa" w:w="60"/>
              <w:right w:type="dxa" w:w="100"/>
            </w:tcMar>
            <w:vAlign w:val="center"/>
          </w:tcPr>
          <w:p>
            <w:r>
              <w:rPr>
                <w:b/>
                <w:bCs/>
                <w:sz w:val="19"/>
                <w:szCs w:val="19"/>
              </w:rPr>
              <w:t xml:space="preserve">Germany</w:t>
            </w:r>
          </w:p>
        </w:tc>
        <w:tc>
          <w:tcPr>
            <w:tcW w:type="dxa" w:w="3120"/>
            <w:shd w:fill="FFFFFF" w:val="clear"/>
            <w:tcMar>
              <w:top w:type="dxa" w:w="60"/>
              <w:left w:type="dxa" w:w="100"/>
              <w:bottom w:type="dxa" w:w="60"/>
              <w:right w:type="dxa" w:w="100"/>
            </w:tcMar>
            <w:vAlign w:val="center"/>
          </w:tcPr>
          <w:p>
            <w:r>
              <w:rPr>
                <w:b w:val="false"/>
                <w:bCs w:val="false"/>
                <w:sz w:val="19"/>
                <w:szCs w:val="19"/>
              </w:rPr>
              <w:t xml:space="preserve">32.4%</w:t>
            </w:r>
          </w:p>
        </w:tc>
        <w:tc>
          <w:tcPr>
            <w:tcW w:type="dxa" w:w="3120"/>
            <w:shd w:fill="FFFFFF" w:val="clear"/>
            <w:tcMar>
              <w:top w:type="dxa" w:w="60"/>
              <w:left w:type="dxa" w:w="100"/>
              <w:bottom w:type="dxa" w:w="60"/>
              <w:right w:type="dxa" w:w="100"/>
            </w:tcMar>
            <w:vAlign w:val="center"/>
          </w:tcPr>
          <w:p>
            <w:r>
              <w:rPr>
                <w:b w:val="false"/>
                <w:bCs w:val="false"/>
                <w:sz w:val="19"/>
                <w:szCs w:val="19"/>
              </w:rPr>
              <w:t xml:space="preserve">2,509</w:t>
            </w:r>
          </w:p>
        </w:tc>
      </w:tr>
      <w:tr>
        <w:tc>
          <w:tcPr>
            <w:tcW w:type="dxa" w:w="3120"/>
            <w:shd w:fill="EDF1F5" w:val="clear"/>
            <w:tcMar>
              <w:top w:type="dxa" w:w="60"/>
              <w:left w:type="dxa" w:w="100"/>
              <w:bottom w:type="dxa" w:w="60"/>
              <w:right w:type="dxa" w:w="100"/>
            </w:tcMar>
            <w:vAlign w:val="center"/>
          </w:tcPr>
          <w:p>
            <w:r>
              <w:rPr>
                <w:b/>
                <w:bCs/>
                <w:sz w:val="19"/>
                <w:szCs w:val="19"/>
              </w:rPr>
              <w:t xml:space="preserve">Spain</w:t>
            </w:r>
          </w:p>
        </w:tc>
        <w:tc>
          <w:tcPr>
            <w:tcW w:type="dxa" w:w="3120"/>
            <w:shd w:fill="EDF1F5" w:val="clear"/>
            <w:tcMar>
              <w:top w:type="dxa" w:w="60"/>
              <w:left w:type="dxa" w:w="100"/>
              <w:bottom w:type="dxa" w:w="60"/>
              <w:right w:type="dxa" w:w="100"/>
            </w:tcMar>
            <w:vAlign w:val="center"/>
          </w:tcPr>
          <w:p>
            <w:r>
              <w:rPr>
                <w:b w:val="false"/>
                <w:bCs w:val="false"/>
                <w:sz w:val="19"/>
                <w:szCs w:val="19"/>
              </w:rPr>
              <w:t xml:space="preserve">16.7%</w:t>
            </w:r>
          </w:p>
        </w:tc>
        <w:tc>
          <w:tcPr>
            <w:tcW w:type="dxa" w:w="3120"/>
            <w:shd w:fill="EDF1F5" w:val="clear"/>
            <w:tcMar>
              <w:top w:type="dxa" w:w="60"/>
              <w:left w:type="dxa" w:w="100"/>
              <w:bottom w:type="dxa" w:w="60"/>
              <w:right w:type="dxa" w:w="100"/>
            </w:tcMar>
            <w:vAlign w:val="center"/>
          </w:tcPr>
          <w:p>
            <w:r>
              <w:rPr>
                <w:b w:val="false"/>
                <w:bCs w:val="false"/>
                <w:sz w:val="19"/>
                <w:szCs w:val="19"/>
              </w:rPr>
              <w:t xml:space="preserve">2,477</w:t>
            </w:r>
          </w:p>
        </w:tc>
      </w:tr>
      <w:tr>
        <w:tc>
          <w:tcPr>
            <w:tcW w:type="dxa" w:w="3120"/>
            <w:shd w:fill="FFFFFF" w:val="clear"/>
            <w:tcMar>
              <w:top w:type="dxa" w:w="60"/>
              <w:left w:type="dxa" w:w="100"/>
              <w:bottom w:type="dxa" w:w="60"/>
              <w:right w:type="dxa" w:w="100"/>
            </w:tcMar>
            <w:vAlign w:val="center"/>
          </w:tcPr>
          <w:p>
            <w:r>
              <w:rPr>
                <w:b/>
                <w:bCs/>
                <w:sz w:val="19"/>
                <w:szCs w:val="19"/>
              </w:rPr>
              <w:t xml:space="preserve">France</w:t>
            </w:r>
          </w:p>
        </w:tc>
        <w:tc>
          <w:tcPr>
            <w:tcW w:type="dxa" w:w="3120"/>
            <w:shd w:fill="FFFFFF" w:val="clear"/>
            <w:tcMar>
              <w:top w:type="dxa" w:w="60"/>
              <w:left w:type="dxa" w:w="100"/>
              <w:bottom w:type="dxa" w:w="60"/>
              <w:right w:type="dxa" w:w="100"/>
            </w:tcMar>
            <w:vAlign w:val="center"/>
          </w:tcPr>
          <w:p>
            <w:r>
              <w:rPr>
                <w:b w:val="false"/>
                <w:bCs w:val="false"/>
                <w:sz w:val="19"/>
                <w:szCs w:val="19"/>
              </w:rPr>
              <w:t xml:space="preserve">16.2%</w:t>
            </w:r>
          </w:p>
        </w:tc>
        <w:tc>
          <w:tcPr>
            <w:tcW w:type="dxa" w:w="3120"/>
            <w:shd w:fill="FFFFFF" w:val="clear"/>
            <w:tcMar>
              <w:top w:type="dxa" w:w="60"/>
              <w:left w:type="dxa" w:w="100"/>
              <w:bottom w:type="dxa" w:w="60"/>
              <w:right w:type="dxa" w:w="100"/>
            </w:tcMar>
            <w:vAlign w:val="center"/>
          </w:tcPr>
          <w:p>
            <w:r>
              <w:rPr>
                <w:b w:val="false"/>
                <w:bCs w:val="false"/>
                <w:sz w:val="19"/>
                <w:szCs w:val="19"/>
              </w:rPr>
              <w:t xml:space="preserve">5,014</w:t>
            </w:r>
          </w:p>
        </w:tc>
      </w:tr>
    </w:tbl>
    <w:p>
      <w:pPr>
        <w:spacing w:after="200" w:before="40"/>
      </w:pPr>
      <w:r>
        <w:rPr>
          <w:i/>
          <w:iCs/>
          <w:color w:val="595959"/>
          <w:sz w:val="18"/>
          <w:szCs w:val="18"/>
        </w:rPr>
        <w:t xml:space="preserve">Table 2. Churn rate by geography</w:t>
      </w:r>
    </w:p>
    <w:p>
      <w:pPr>
        <w:spacing w:after="160" w:line="300"/>
      </w:pPr>
      <w:r>
        <w:rPr>
          <w:sz w:val="21"/>
          <w:szCs w:val="21"/>
        </w:rPr>
        <w:t xml:space="preserve">German customers churn at roughly twice the rate of French or Spanish customers despite similar product and service structures, pointing to a market-specific competitive or service gap rather than a data artifact.</w:t>
      </w:r>
    </w:p>
    <w:p>
      <w:pPr>
        <w:pStyle w:val="Heading2"/>
        <w:spacing w:after="120" w:before="260"/>
      </w:pPr>
      <w:r>
        <w:rPr>
          <w:b/>
          <w:bCs/>
          <w:color w:val="1F3B57"/>
          <w:sz w:val="24"/>
          <w:szCs w:val="24"/>
        </w:rPr>
        <w:t xml:space="preserve">4.2 Gender</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120"/>
        <w:gridCol w:w="3120"/>
        <w:gridCol w:w="3120"/>
      </w:tblGrid>
      <w:tr>
        <w:trPr>
          <w:tblHeader/>
        </w:trPr>
        <w:tc>
          <w:tcPr>
            <w:tcW w:type="dxa" w:w="3120"/>
            <w:shd w:fill="1F3B57" w:val="clear"/>
            <w:tcMar>
              <w:top w:type="dxa" w:w="80"/>
              <w:left w:type="dxa" w:w="100"/>
              <w:bottom w:type="dxa" w:w="80"/>
              <w:right w:type="dxa" w:w="100"/>
            </w:tcMar>
            <w:vAlign w:val="center"/>
          </w:tcPr>
          <w:p>
            <w:pPr>
              <w:jc w:val="left"/>
            </w:pPr>
            <w:r>
              <w:rPr>
                <w:b/>
                <w:bCs/>
                <w:color w:val="FFFFFF"/>
                <w:sz w:val="19"/>
                <w:szCs w:val="19"/>
              </w:rPr>
              <w:t xml:space="preserve">Gender</w:t>
            </w:r>
          </w:p>
        </w:tc>
        <w:tc>
          <w:tcPr>
            <w:tcW w:type="dxa" w:w="3120"/>
            <w:shd w:fill="1F3B57" w:val="clear"/>
            <w:tcMar>
              <w:top w:type="dxa" w:w="80"/>
              <w:left w:type="dxa" w:w="100"/>
              <w:bottom w:type="dxa" w:w="80"/>
              <w:right w:type="dxa" w:w="100"/>
            </w:tcMar>
            <w:vAlign w:val="center"/>
          </w:tcPr>
          <w:p>
            <w:pPr>
              <w:jc w:val="left"/>
            </w:pPr>
            <w:r>
              <w:rPr>
                <w:b/>
                <w:bCs/>
                <w:color w:val="FFFFFF"/>
                <w:sz w:val="19"/>
                <w:szCs w:val="19"/>
              </w:rPr>
              <w:t xml:space="preserve">Churn Rate</w:t>
            </w:r>
          </w:p>
        </w:tc>
        <w:tc>
          <w:tcPr>
            <w:tcW w:type="dxa" w:w="3120"/>
            <w:shd w:fill="1F3B57" w:val="clear"/>
            <w:tcMar>
              <w:top w:type="dxa" w:w="80"/>
              <w:left w:type="dxa" w:w="100"/>
              <w:bottom w:type="dxa" w:w="80"/>
              <w:right w:type="dxa" w:w="100"/>
            </w:tcMar>
            <w:vAlign w:val="center"/>
          </w:tcPr>
          <w:p>
            <w:pPr>
              <w:jc w:val="left"/>
            </w:pPr>
            <w:r>
              <w:rPr>
                <w:b/>
                <w:bCs/>
                <w:color w:val="FFFFFF"/>
                <w:sz w:val="19"/>
                <w:szCs w:val="19"/>
              </w:rPr>
              <w:t xml:space="preserve">Customers</w:t>
            </w:r>
          </w:p>
        </w:tc>
      </w:tr>
      <w:tr>
        <w:tc>
          <w:tcPr>
            <w:tcW w:type="dxa" w:w="3120"/>
            <w:shd w:fill="FFFFFF" w:val="clear"/>
            <w:tcMar>
              <w:top w:type="dxa" w:w="60"/>
              <w:left w:type="dxa" w:w="100"/>
              <w:bottom w:type="dxa" w:w="60"/>
              <w:right w:type="dxa" w:w="100"/>
            </w:tcMar>
            <w:vAlign w:val="center"/>
          </w:tcPr>
          <w:p>
            <w:r>
              <w:rPr>
                <w:b/>
                <w:bCs/>
                <w:sz w:val="19"/>
                <w:szCs w:val="19"/>
              </w:rPr>
              <w:t xml:space="preserve">Female</w:t>
            </w:r>
          </w:p>
        </w:tc>
        <w:tc>
          <w:tcPr>
            <w:tcW w:type="dxa" w:w="3120"/>
            <w:shd w:fill="FFFFFF" w:val="clear"/>
            <w:tcMar>
              <w:top w:type="dxa" w:w="60"/>
              <w:left w:type="dxa" w:w="100"/>
              <w:bottom w:type="dxa" w:w="60"/>
              <w:right w:type="dxa" w:w="100"/>
            </w:tcMar>
            <w:vAlign w:val="center"/>
          </w:tcPr>
          <w:p>
            <w:r>
              <w:rPr>
                <w:b w:val="false"/>
                <w:bCs w:val="false"/>
                <w:sz w:val="19"/>
                <w:szCs w:val="19"/>
              </w:rPr>
              <w:t xml:space="preserve">25.1%</w:t>
            </w:r>
          </w:p>
        </w:tc>
        <w:tc>
          <w:tcPr>
            <w:tcW w:type="dxa" w:w="3120"/>
            <w:shd w:fill="FFFFFF" w:val="clear"/>
            <w:tcMar>
              <w:top w:type="dxa" w:w="60"/>
              <w:left w:type="dxa" w:w="100"/>
              <w:bottom w:type="dxa" w:w="60"/>
              <w:right w:type="dxa" w:w="100"/>
            </w:tcMar>
            <w:vAlign w:val="center"/>
          </w:tcPr>
          <w:p>
            <w:r>
              <w:rPr>
                <w:b w:val="false"/>
                <w:bCs w:val="false"/>
                <w:sz w:val="19"/>
                <w:szCs w:val="19"/>
              </w:rPr>
              <w:t xml:space="preserve">4,543</w:t>
            </w:r>
          </w:p>
        </w:tc>
      </w:tr>
      <w:tr>
        <w:tc>
          <w:tcPr>
            <w:tcW w:type="dxa" w:w="3120"/>
            <w:shd w:fill="EDF1F5" w:val="clear"/>
            <w:tcMar>
              <w:top w:type="dxa" w:w="60"/>
              <w:left w:type="dxa" w:w="100"/>
              <w:bottom w:type="dxa" w:w="60"/>
              <w:right w:type="dxa" w:w="100"/>
            </w:tcMar>
            <w:vAlign w:val="center"/>
          </w:tcPr>
          <w:p>
            <w:r>
              <w:rPr>
                <w:b/>
                <w:bCs/>
                <w:sz w:val="19"/>
                <w:szCs w:val="19"/>
              </w:rPr>
              <w:t xml:space="preserve">Male</w:t>
            </w:r>
          </w:p>
        </w:tc>
        <w:tc>
          <w:tcPr>
            <w:tcW w:type="dxa" w:w="3120"/>
            <w:shd w:fill="EDF1F5" w:val="clear"/>
            <w:tcMar>
              <w:top w:type="dxa" w:w="60"/>
              <w:left w:type="dxa" w:w="100"/>
              <w:bottom w:type="dxa" w:w="60"/>
              <w:right w:type="dxa" w:w="100"/>
            </w:tcMar>
            <w:vAlign w:val="center"/>
          </w:tcPr>
          <w:p>
            <w:r>
              <w:rPr>
                <w:b w:val="false"/>
                <w:bCs w:val="false"/>
                <w:sz w:val="19"/>
                <w:szCs w:val="19"/>
              </w:rPr>
              <w:t xml:space="preserve">16.5%</w:t>
            </w:r>
          </w:p>
        </w:tc>
        <w:tc>
          <w:tcPr>
            <w:tcW w:type="dxa" w:w="3120"/>
            <w:shd w:fill="EDF1F5" w:val="clear"/>
            <w:tcMar>
              <w:top w:type="dxa" w:w="60"/>
              <w:left w:type="dxa" w:w="100"/>
              <w:bottom w:type="dxa" w:w="60"/>
              <w:right w:type="dxa" w:w="100"/>
            </w:tcMar>
            <w:vAlign w:val="center"/>
          </w:tcPr>
          <w:p>
            <w:r>
              <w:rPr>
                <w:b w:val="false"/>
                <w:bCs w:val="false"/>
                <w:sz w:val="19"/>
                <w:szCs w:val="19"/>
              </w:rPr>
              <w:t xml:space="preserve">5,457</w:t>
            </w:r>
          </w:p>
        </w:tc>
      </w:tr>
    </w:tbl>
    <w:p>
      <w:pPr>
        <w:spacing w:after="200" w:before="40"/>
      </w:pPr>
      <w:r>
        <w:rPr>
          <w:i/>
          <w:iCs/>
          <w:color w:val="595959"/>
          <w:sz w:val="18"/>
          <w:szCs w:val="18"/>
        </w:rPr>
        <w:t xml:space="preserve">Table 3. Churn rate by gender</w:t>
      </w:r>
    </w:p>
    <w:p>
      <w:pPr>
        <w:spacing w:after="160" w:line="300"/>
      </w:pPr>
      <w:r>
        <w:rPr>
          <w:sz w:val="21"/>
          <w:szCs w:val="21"/>
        </w:rPr>
        <w:t xml:space="preserve">Female customers churn at a meaningfully higher rate — a candidate for a segment-specific engagement review rather than a modeling feature to over-index on.</w:t>
      </w:r>
    </w:p>
    <w:p>
      <w:pPr>
        <w:pStyle w:val="Heading2"/>
        <w:spacing w:after="120" w:before="260"/>
      </w:pPr>
      <w:r>
        <w:rPr>
          <w:b/>
          <w:bCs/>
          <w:color w:val="1F3B57"/>
          <w:sz w:val="24"/>
          <w:szCs w:val="24"/>
        </w:rPr>
        <w:t xml:space="preserve">4.3 Number of Products — the strongest non-linear driver</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120"/>
        <w:gridCol w:w="3120"/>
        <w:gridCol w:w="3120"/>
      </w:tblGrid>
      <w:tr>
        <w:trPr>
          <w:tblHeader/>
        </w:trPr>
        <w:tc>
          <w:tcPr>
            <w:tcW w:type="dxa" w:w="3120"/>
            <w:shd w:fill="1F3B57" w:val="clear"/>
            <w:tcMar>
              <w:top w:type="dxa" w:w="80"/>
              <w:left w:type="dxa" w:w="100"/>
              <w:bottom w:type="dxa" w:w="80"/>
              <w:right w:type="dxa" w:w="100"/>
            </w:tcMar>
            <w:vAlign w:val="center"/>
          </w:tcPr>
          <w:p>
            <w:pPr>
              <w:jc w:val="left"/>
            </w:pPr>
            <w:r>
              <w:rPr>
                <w:b/>
                <w:bCs/>
                <w:color w:val="FFFFFF"/>
                <w:sz w:val="19"/>
                <w:szCs w:val="19"/>
              </w:rPr>
              <w:t xml:space="preserve">Products Held</w:t>
            </w:r>
          </w:p>
        </w:tc>
        <w:tc>
          <w:tcPr>
            <w:tcW w:type="dxa" w:w="3120"/>
            <w:shd w:fill="1F3B57" w:val="clear"/>
            <w:tcMar>
              <w:top w:type="dxa" w:w="80"/>
              <w:left w:type="dxa" w:w="100"/>
              <w:bottom w:type="dxa" w:w="80"/>
              <w:right w:type="dxa" w:w="100"/>
            </w:tcMar>
            <w:vAlign w:val="center"/>
          </w:tcPr>
          <w:p>
            <w:pPr>
              <w:jc w:val="left"/>
            </w:pPr>
            <w:r>
              <w:rPr>
                <w:b/>
                <w:bCs/>
                <w:color w:val="FFFFFF"/>
                <w:sz w:val="19"/>
                <w:szCs w:val="19"/>
              </w:rPr>
              <w:t xml:space="preserve">Churn Rate</w:t>
            </w:r>
          </w:p>
        </w:tc>
        <w:tc>
          <w:tcPr>
            <w:tcW w:type="dxa" w:w="3120"/>
            <w:shd w:fill="1F3B57" w:val="clear"/>
            <w:tcMar>
              <w:top w:type="dxa" w:w="80"/>
              <w:left w:type="dxa" w:w="100"/>
              <w:bottom w:type="dxa" w:w="80"/>
              <w:right w:type="dxa" w:w="100"/>
            </w:tcMar>
            <w:vAlign w:val="center"/>
          </w:tcPr>
          <w:p>
            <w:pPr>
              <w:jc w:val="left"/>
            </w:pPr>
            <w:r>
              <w:rPr>
                <w:b/>
                <w:bCs/>
                <w:color w:val="FFFFFF"/>
                <w:sz w:val="19"/>
                <w:szCs w:val="19"/>
              </w:rPr>
              <w:t xml:space="preserve">Customers</w:t>
            </w:r>
          </w:p>
        </w:tc>
      </w:tr>
      <w:tr>
        <w:tc>
          <w:tcPr>
            <w:tcW w:type="dxa" w:w="3120"/>
            <w:shd w:fill="FFFFFF" w:val="clear"/>
            <w:tcMar>
              <w:top w:type="dxa" w:w="60"/>
              <w:left w:type="dxa" w:w="100"/>
              <w:bottom w:type="dxa" w:w="60"/>
              <w:right w:type="dxa" w:w="100"/>
            </w:tcMar>
            <w:vAlign w:val="center"/>
          </w:tcPr>
          <w:p>
            <w:r>
              <w:rPr>
                <w:b/>
                <w:bCs/>
                <w:sz w:val="19"/>
                <w:szCs w:val="19"/>
              </w:rPr>
              <w:t xml:space="preserve">1</w:t>
            </w:r>
          </w:p>
        </w:tc>
        <w:tc>
          <w:tcPr>
            <w:tcW w:type="dxa" w:w="3120"/>
            <w:shd w:fill="FFFFFF" w:val="clear"/>
            <w:tcMar>
              <w:top w:type="dxa" w:w="60"/>
              <w:left w:type="dxa" w:w="100"/>
              <w:bottom w:type="dxa" w:w="60"/>
              <w:right w:type="dxa" w:w="100"/>
            </w:tcMar>
            <w:vAlign w:val="center"/>
          </w:tcPr>
          <w:p>
            <w:r>
              <w:rPr>
                <w:b w:val="false"/>
                <w:bCs w:val="false"/>
                <w:sz w:val="19"/>
                <w:szCs w:val="19"/>
              </w:rPr>
              <w:t xml:space="preserve">27.7%</w:t>
            </w:r>
          </w:p>
        </w:tc>
        <w:tc>
          <w:tcPr>
            <w:tcW w:type="dxa" w:w="3120"/>
            <w:shd w:fill="FFFFFF" w:val="clear"/>
            <w:tcMar>
              <w:top w:type="dxa" w:w="60"/>
              <w:left w:type="dxa" w:w="100"/>
              <w:bottom w:type="dxa" w:w="60"/>
              <w:right w:type="dxa" w:w="100"/>
            </w:tcMar>
            <w:vAlign w:val="center"/>
          </w:tcPr>
          <w:p>
            <w:r>
              <w:rPr>
                <w:b w:val="false"/>
                <w:bCs w:val="false"/>
                <w:sz w:val="19"/>
                <w:szCs w:val="19"/>
              </w:rPr>
              <w:t xml:space="preserve">5,084</w:t>
            </w:r>
          </w:p>
        </w:tc>
      </w:tr>
      <w:tr>
        <w:tc>
          <w:tcPr>
            <w:tcW w:type="dxa" w:w="3120"/>
            <w:shd w:fill="EDF1F5" w:val="clear"/>
            <w:tcMar>
              <w:top w:type="dxa" w:w="60"/>
              <w:left w:type="dxa" w:w="100"/>
              <w:bottom w:type="dxa" w:w="60"/>
              <w:right w:type="dxa" w:w="100"/>
            </w:tcMar>
            <w:vAlign w:val="center"/>
          </w:tcPr>
          <w:p>
            <w:r>
              <w:rPr>
                <w:b/>
                <w:bCs/>
                <w:sz w:val="19"/>
                <w:szCs w:val="19"/>
              </w:rPr>
              <w:t xml:space="preserve">2</w:t>
            </w:r>
          </w:p>
        </w:tc>
        <w:tc>
          <w:tcPr>
            <w:tcW w:type="dxa" w:w="3120"/>
            <w:shd w:fill="EDF1F5" w:val="clear"/>
            <w:tcMar>
              <w:top w:type="dxa" w:w="60"/>
              <w:left w:type="dxa" w:w="100"/>
              <w:bottom w:type="dxa" w:w="60"/>
              <w:right w:type="dxa" w:w="100"/>
            </w:tcMar>
            <w:vAlign w:val="center"/>
          </w:tcPr>
          <w:p>
            <w:r>
              <w:rPr>
                <w:b w:val="false"/>
                <w:bCs w:val="false"/>
                <w:sz w:val="19"/>
                <w:szCs w:val="19"/>
              </w:rPr>
              <w:t xml:space="preserve">7.6%</w:t>
            </w:r>
          </w:p>
        </w:tc>
        <w:tc>
          <w:tcPr>
            <w:tcW w:type="dxa" w:w="3120"/>
            <w:shd w:fill="EDF1F5" w:val="clear"/>
            <w:tcMar>
              <w:top w:type="dxa" w:w="60"/>
              <w:left w:type="dxa" w:w="100"/>
              <w:bottom w:type="dxa" w:w="60"/>
              <w:right w:type="dxa" w:w="100"/>
            </w:tcMar>
            <w:vAlign w:val="center"/>
          </w:tcPr>
          <w:p>
            <w:r>
              <w:rPr>
                <w:b w:val="false"/>
                <w:bCs w:val="false"/>
                <w:sz w:val="19"/>
                <w:szCs w:val="19"/>
              </w:rPr>
              <w:t xml:space="preserve">4,590</w:t>
            </w:r>
          </w:p>
        </w:tc>
      </w:tr>
      <w:tr>
        <w:tc>
          <w:tcPr>
            <w:tcW w:type="dxa" w:w="3120"/>
            <w:shd w:fill="FFFFFF" w:val="clear"/>
            <w:tcMar>
              <w:top w:type="dxa" w:w="60"/>
              <w:left w:type="dxa" w:w="100"/>
              <w:bottom w:type="dxa" w:w="60"/>
              <w:right w:type="dxa" w:w="100"/>
            </w:tcMar>
            <w:vAlign w:val="center"/>
          </w:tcPr>
          <w:p>
            <w:r>
              <w:rPr>
                <w:b/>
                <w:bCs/>
                <w:sz w:val="19"/>
                <w:szCs w:val="19"/>
              </w:rPr>
              <w:t xml:space="preserve">3</w:t>
            </w:r>
          </w:p>
        </w:tc>
        <w:tc>
          <w:tcPr>
            <w:tcW w:type="dxa" w:w="3120"/>
            <w:shd w:fill="FFFFFF" w:val="clear"/>
            <w:tcMar>
              <w:top w:type="dxa" w:w="60"/>
              <w:left w:type="dxa" w:w="100"/>
              <w:bottom w:type="dxa" w:w="60"/>
              <w:right w:type="dxa" w:w="100"/>
            </w:tcMar>
            <w:vAlign w:val="center"/>
          </w:tcPr>
          <w:p>
            <w:r>
              <w:rPr>
                <w:b w:val="false"/>
                <w:bCs w:val="false"/>
                <w:sz w:val="19"/>
                <w:szCs w:val="19"/>
              </w:rPr>
              <w:t xml:space="preserve">82.7%</w:t>
            </w:r>
          </w:p>
        </w:tc>
        <w:tc>
          <w:tcPr>
            <w:tcW w:type="dxa" w:w="3120"/>
            <w:shd w:fill="FFFFFF" w:val="clear"/>
            <w:tcMar>
              <w:top w:type="dxa" w:w="60"/>
              <w:left w:type="dxa" w:w="100"/>
              <w:bottom w:type="dxa" w:w="60"/>
              <w:right w:type="dxa" w:w="100"/>
            </w:tcMar>
            <w:vAlign w:val="center"/>
          </w:tcPr>
          <w:p>
            <w:r>
              <w:rPr>
                <w:b w:val="false"/>
                <w:bCs w:val="false"/>
                <w:sz w:val="19"/>
                <w:szCs w:val="19"/>
              </w:rPr>
              <w:t xml:space="preserve">266</w:t>
            </w:r>
          </w:p>
        </w:tc>
      </w:tr>
      <w:tr>
        <w:tc>
          <w:tcPr>
            <w:tcW w:type="dxa" w:w="3120"/>
            <w:shd w:fill="EDF1F5" w:val="clear"/>
            <w:tcMar>
              <w:top w:type="dxa" w:w="60"/>
              <w:left w:type="dxa" w:w="100"/>
              <w:bottom w:type="dxa" w:w="60"/>
              <w:right w:type="dxa" w:w="100"/>
            </w:tcMar>
            <w:vAlign w:val="center"/>
          </w:tcPr>
          <w:p>
            <w:r>
              <w:rPr>
                <w:b/>
                <w:bCs/>
                <w:sz w:val="19"/>
                <w:szCs w:val="19"/>
              </w:rPr>
              <w:t xml:space="preserve">4</w:t>
            </w:r>
          </w:p>
        </w:tc>
        <w:tc>
          <w:tcPr>
            <w:tcW w:type="dxa" w:w="3120"/>
            <w:shd w:fill="EDF1F5" w:val="clear"/>
            <w:tcMar>
              <w:top w:type="dxa" w:w="60"/>
              <w:left w:type="dxa" w:w="100"/>
              <w:bottom w:type="dxa" w:w="60"/>
              <w:right w:type="dxa" w:w="100"/>
            </w:tcMar>
            <w:vAlign w:val="center"/>
          </w:tcPr>
          <w:p>
            <w:r>
              <w:rPr>
                <w:b w:val="false"/>
                <w:bCs w:val="false"/>
                <w:sz w:val="19"/>
                <w:szCs w:val="19"/>
              </w:rPr>
              <w:t xml:space="preserve">100.0%</w:t>
            </w:r>
          </w:p>
        </w:tc>
        <w:tc>
          <w:tcPr>
            <w:tcW w:type="dxa" w:w="3120"/>
            <w:shd w:fill="EDF1F5" w:val="clear"/>
            <w:tcMar>
              <w:top w:type="dxa" w:w="60"/>
              <w:left w:type="dxa" w:w="100"/>
              <w:bottom w:type="dxa" w:w="60"/>
              <w:right w:type="dxa" w:w="100"/>
            </w:tcMar>
            <w:vAlign w:val="center"/>
          </w:tcPr>
          <w:p>
            <w:r>
              <w:rPr>
                <w:b w:val="false"/>
                <w:bCs w:val="false"/>
                <w:sz w:val="19"/>
                <w:szCs w:val="19"/>
              </w:rPr>
              <w:t xml:space="preserve">60</w:t>
            </w:r>
          </w:p>
        </w:tc>
      </w:tr>
    </w:tbl>
    <w:p>
      <w:pPr>
        <w:spacing w:after="200" w:before="40"/>
      </w:pPr>
      <w:r>
        <w:rPr>
          <w:i/>
          <w:iCs/>
          <w:color w:val="595959"/>
          <w:sz w:val="18"/>
          <w:szCs w:val="18"/>
        </w:rPr>
        <w:t xml:space="preserve">Table 4. Churn rate by number of products held</w:t>
      </w:r>
    </w:p>
    <w:p>
      <w:pPr>
        <w:spacing w:after="160" w:line="300"/>
      </w:pPr>
      <w:r>
        <w:rPr>
          <w:sz w:val="21"/>
          <w:szCs w:val="21"/>
        </w:rPr>
        <w:t xml:space="preserve">This is the single most important and most actionable finding in the dataset. Churn risk is U-shaped in product count: customers with exactly two products are the stickiest segment in the bank, while customers pushed into three or four products churn almost universally. This strongly suggests over-selling / product-fit failure (customers cross-sold into products they don't need or use) rather than genuine multi-product loyalty. A simple linear correlation between NumOfProducts and churn is misleadingly weak (r = -0.048) precisely because the relationship is non-linear — this is why tree-based models and SHAP, not correlation tables, are needed to surface the effect.</w:t>
      </w:r>
    </w:p>
    <w:p>
      <w:pPr>
        <w:pStyle w:val="Heading2"/>
        <w:spacing w:after="120" w:before="260"/>
      </w:pPr>
      <w:r>
        <w:rPr>
          <w:b/>
          <w:bCs/>
          <w:color w:val="1F3B57"/>
          <w:sz w:val="24"/>
          <w:szCs w:val="24"/>
        </w:rPr>
        <w:t xml:space="preserve">4.4 Engagement (IsActiveMember)</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120"/>
        <w:gridCol w:w="3120"/>
        <w:gridCol w:w="3120"/>
      </w:tblGrid>
      <w:tr>
        <w:trPr>
          <w:tblHeader/>
        </w:trPr>
        <w:tc>
          <w:tcPr>
            <w:tcW w:type="dxa" w:w="3120"/>
            <w:shd w:fill="1F3B57" w:val="clear"/>
            <w:tcMar>
              <w:top w:type="dxa" w:w="80"/>
              <w:left w:type="dxa" w:w="100"/>
              <w:bottom w:type="dxa" w:w="80"/>
              <w:right w:type="dxa" w:w="100"/>
            </w:tcMar>
            <w:vAlign w:val="center"/>
          </w:tcPr>
          <w:p>
            <w:pPr>
              <w:jc w:val="left"/>
            </w:pPr>
            <w:r>
              <w:rPr>
                <w:b/>
                <w:bCs/>
                <w:color w:val="FFFFFF"/>
                <w:sz w:val="19"/>
                <w:szCs w:val="19"/>
              </w:rPr>
              <w:t xml:space="preserve">Active Member</w:t>
            </w:r>
          </w:p>
        </w:tc>
        <w:tc>
          <w:tcPr>
            <w:tcW w:type="dxa" w:w="3120"/>
            <w:shd w:fill="1F3B57" w:val="clear"/>
            <w:tcMar>
              <w:top w:type="dxa" w:w="80"/>
              <w:left w:type="dxa" w:w="100"/>
              <w:bottom w:type="dxa" w:w="80"/>
              <w:right w:type="dxa" w:w="100"/>
            </w:tcMar>
            <w:vAlign w:val="center"/>
          </w:tcPr>
          <w:p>
            <w:pPr>
              <w:jc w:val="left"/>
            </w:pPr>
            <w:r>
              <w:rPr>
                <w:b/>
                <w:bCs/>
                <w:color w:val="FFFFFF"/>
                <w:sz w:val="19"/>
                <w:szCs w:val="19"/>
              </w:rPr>
              <w:t xml:space="preserve">Churn Rate</w:t>
            </w:r>
          </w:p>
        </w:tc>
        <w:tc>
          <w:tcPr>
            <w:tcW w:type="dxa" w:w="3120"/>
            <w:shd w:fill="1F3B57" w:val="clear"/>
            <w:tcMar>
              <w:top w:type="dxa" w:w="80"/>
              <w:left w:type="dxa" w:w="100"/>
              <w:bottom w:type="dxa" w:w="80"/>
              <w:right w:type="dxa" w:w="100"/>
            </w:tcMar>
            <w:vAlign w:val="center"/>
          </w:tcPr>
          <w:p>
            <w:pPr>
              <w:jc w:val="left"/>
            </w:pPr>
            <w:r>
              <w:rPr>
                <w:b/>
                <w:bCs/>
                <w:color w:val="FFFFFF"/>
                <w:sz w:val="19"/>
                <w:szCs w:val="19"/>
              </w:rPr>
              <w:t xml:space="preserve">Customers</w:t>
            </w:r>
          </w:p>
        </w:tc>
      </w:tr>
      <w:tr>
        <w:tc>
          <w:tcPr>
            <w:tcW w:type="dxa" w:w="3120"/>
            <w:shd w:fill="FFFFFF" w:val="clear"/>
            <w:tcMar>
              <w:top w:type="dxa" w:w="60"/>
              <w:left w:type="dxa" w:w="100"/>
              <w:bottom w:type="dxa" w:w="60"/>
              <w:right w:type="dxa" w:w="100"/>
            </w:tcMar>
            <w:vAlign w:val="center"/>
          </w:tcPr>
          <w:p>
            <w:r>
              <w:rPr>
                <w:b/>
                <w:bCs/>
                <w:sz w:val="19"/>
                <w:szCs w:val="19"/>
              </w:rPr>
              <w:t xml:space="preserve">No</w:t>
            </w:r>
          </w:p>
        </w:tc>
        <w:tc>
          <w:tcPr>
            <w:tcW w:type="dxa" w:w="3120"/>
            <w:shd w:fill="FFFFFF" w:val="clear"/>
            <w:tcMar>
              <w:top w:type="dxa" w:w="60"/>
              <w:left w:type="dxa" w:w="100"/>
              <w:bottom w:type="dxa" w:w="60"/>
              <w:right w:type="dxa" w:w="100"/>
            </w:tcMar>
            <w:vAlign w:val="center"/>
          </w:tcPr>
          <w:p>
            <w:r>
              <w:rPr>
                <w:b w:val="false"/>
                <w:bCs w:val="false"/>
                <w:sz w:val="19"/>
                <w:szCs w:val="19"/>
              </w:rPr>
              <w:t xml:space="preserve">26.9%</w:t>
            </w:r>
          </w:p>
        </w:tc>
        <w:tc>
          <w:tcPr>
            <w:tcW w:type="dxa" w:w="3120"/>
            <w:shd w:fill="FFFFFF" w:val="clear"/>
            <w:tcMar>
              <w:top w:type="dxa" w:w="60"/>
              <w:left w:type="dxa" w:w="100"/>
              <w:bottom w:type="dxa" w:w="60"/>
              <w:right w:type="dxa" w:w="100"/>
            </w:tcMar>
            <w:vAlign w:val="center"/>
          </w:tcPr>
          <w:p>
            <w:r>
              <w:rPr>
                <w:b w:val="false"/>
                <w:bCs w:val="false"/>
                <w:sz w:val="19"/>
                <w:szCs w:val="19"/>
              </w:rPr>
              <w:t xml:space="preserve">4,849</w:t>
            </w:r>
          </w:p>
        </w:tc>
      </w:tr>
      <w:tr>
        <w:tc>
          <w:tcPr>
            <w:tcW w:type="dxa" w:w="3120"/>
            <w:shd w:fill="EDF1F5" w:val="clear"/>
            <w:tcMar>
              <w:top w:type="dxa" w:w="60"/>
              <w:left w:type="dxa" w:w="100"/>
              <w:bottom w:type="dxa" w:w="60"/>
              <w:right w:type="dxa" w:w="100"/>
            </w:tcMar>
            <w:vAlign w:val="center"/>
          </w:tcPr>
          <w:p>
            <w:r>
              <w:rPr>
                <w:b/>
                <w:bCs/>
                <w:sz w:val="19"/>
                <w:szCs w:val="19"/>
              </w:rPr>
              <w:t xml:space="preserve">Yes</w:t>
            </w:r>
          </w:p>
        </w:tc>
        <w:tc>
          <w:tcPr>
            <w:tcW w:type="dxa" w:w="3120"/>
            <w:shd w:fill="EDF1F5" w:val="clear"/>
            <w:tcMar>
              <w:top w:type="dxa" w:w="60"/>
              <w:left w:type="dxa" w:w="100"/>
              <w:bottom w:type="dxa" w:w="60"/>
              <w:right w:type="dxa" w:w="100"/>
            </w:tcMar>
            <w:vAlign w:val="center"/>
          </w:tcPr>
          <w:p>
            <w:r>
              <w:rPr>
                <w:b w:val="false"/>
                <w:bCs w:val="false"/>
                <w:sz w:val="19"/>
                <w:szCs w:val="19"/>
              </w:rPr>
              <w:t xml:space="preserve">14.3%</w:t>
            </w:r>
          </w:p>
        </w:tc>
        <w:tc>
          <w:tcPr>
            <w:tcW w:type="dxa" w:w="3120"/>
            <w:shd w:fill="EDF1F5" w:val="clear"/>
            <w:tcMar>
              <w:top w:type="dxa" w:w="60"/>
              <w:left w:type="dxa" w:w="100"/>
              <w:bottom w:type="dxa" w:w="60"/>
              <w:right w:type="dxa" w:w="100"/>
            </w:tcMar>
            <w:vAlign w:val="center"/>
          </w:tcPr>
          <w:p>
            <w:r>
              <w:rPr>
                <w:b w:val="false"/>
                <w:bCs w:val="false"/>
                <w:sz w:val="19"/>
                <w:szCs w:val="19"/>
              </w:rPr>
              <w:t xml:space="preserve">5,151</w:t>
            </w:r>
          </w:p>
        </w:tc>
      </w:tr>
    </w:tbl>
    <w:p>
      <w:pPr>
        <w:spacing w:after="200" w:before="40"/>
      </w:pPr>
      <w:r>
        <w:rPr>
          <w:i/>
          <w:iCs/>
          <w:color w:val="595959"/>
          <w:sz w:val="18"/>
          <w:szCs w:val="18"/>
        </w:rPr>
        <w:t xml:space="preserve">Table 5. Churn rate by engagement status</w:t>
      </w:r>
    </w:p>
    <w:p>
      <w:pPr>
        <w:spacing w:after="160" w:line="300"/>
      </w:pPr>
      <w:r>
        <w:rPr>
          <w:sz w:val="21"/>
          <w:szCs w:val="21"/>
        </w:rPr>
        <w:t xml:space="preserve">Inactive members churn at nearly 2x the rate of active members — engagement is a strong, directly actionable lever.</w:t>
      </w:r>
    </w:p>
    <w:p>
      <w:pPr>
        <w:pStyle w:val="Heading2"/>
        <w:spacing w:after="120" w:before="260"/>
      </w:pPr>
      <w:r>
        <w:rPr>
          <w:b/>
          <w:bCs/>
          <w:color w:val="1F3B57"/>
          <w:sz w:val="24"/>
          <w:szCs w:val="24"/>
        </w:rPr>
        <w:t xml:space="preserve">4.5 Age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120"/>
        <w:gridCol w:w="3120"/>
        <w:gridCol w:w="3120"/>
      </w:tblGrid>
      <w:tr>
        <w:trPr>
          <w:tblHeader/>
        </w:trPr>
        <w:tc>
          <w:tcPr>
            <w:tcW w:type="dxa" w:w="3120"/>
            <w:shd w:fill="1F3B57" w:val="clear"/>
            <w:tcMar>
              <w:top w:type="dxa" w:w="80"/>
              <w:left w:type="dxa" w:w="100"/>
              <w:bottom w:type="dxa" w:w="80"/>
              <w:right w:type="dxa" w:w="100"/>
            </w:tcMar>
            <w:vAlign w:val="center"/>
          </w:tcPr>
          <w:p>
            <w:pPr>
              <w:jc w:val="left"/>
            </w:pPr>
            <w:r>
              <w:rPr>
                <w:b/>
                <w:bCs/>
                <w:color w:val="FFFFFF"/>
                <w:sz w:val="19"/>
                <w:szCs w:val="19"/>
              </w:rPr>
              <w:t xml:space="preserve">Age Band</w:t>
            </w:r>
          </w:p>
        </w:tc>
        <w:tc>
          <w:tcPr>
            <w:tcW w:type="dxa" w:w="3120"/>
            <w:shd w:fill="1F3B57" w:val="clear"/>
            <w:tcMar>
              <w:top w:type="dxa" w:w="80"/>
              <w:left w:type="dxa" w:w="100"/>
              <w:bottom w:type="dxa" w:w="80"/>
              <w:right w:type="dxa" w:w="100"/>
            </w:tcMar>
            <w:vAlign w:val="center"/>
          </w:tcPr>
          <w:p>
            <w:pPr>
              <w:jc w:val="left"/>
            </w:pPr>
            <w:r>
              <w:rPr>
                <w:b/>
                <w:bCs/>
                <w:color w:val="FFFFFF"/>
                <w:sz w:val="19"/>
                <w:szCs w:val="19"/>
              </w:rPr>
              <w:t xml:space="preserve">Churn Rate</w:t>
            </w:r>
          </w:p>
        </w:tc>
        <w:tc>
          <w:tcPr>
            <w:tcW w:type="dxa" w:w="3120"/>
            <w:shd w:fill="1F3B57" w:val="clear"/>
            <w:tcMar>
              <w:top w:type="dxa" w:w="80"/>
              <w:left w:type="dxa" w:w="100"/>
              <w:bottom w:type="dxa" w:w="80"/>
              <w:right w:type="dxa" w:w="100"/>
            </w:tcMar>
            <w:vAlign w:val="center"/>
          </w:tcPr>
          <w:p>
            <w:pPr>
              <w:jc w:val="left"/>
            </w:pPr>
            <w:r>
              <w:rPr>
                <w:b/>
                <w:bCs/>
                <w:color w:val="FFFFFF"/>
                <w:sz w:val="19"/>
                <w:szCs w:val="19"/>
              </w:rPr>
              <w:t xml:space="preserve">Customers</w:t>
            </w:r>
          </w:p>
        </w:tc>
      </w:tr>
      <w:tr>
        <w:tc>
          <w:tcPr>
            <w:tcW w:type="dxa" w:w="3120"/>
            <w:shd w:fill="FFFFFF" w:val="clear"/>
            <w:tcMar>
              <w:top w:type="dxa" w:w="60"/>
              <w:left w:type="dxa" w:w="100"/>
              <w:bottom w:type="dxa" w:w="60"/>
              <w:right w:type="dxa" w:w="100"/>
            </w:tcMar>
            <w:vAlign w:val="center"/>
          </w:tcPr>
          <w:p>
            <w:r>
              <w:rPr>
                <w:b/>
                <w:bCs/>
                <w:sz w:val="19"/>
                <w:szCs w:val="19"/>
              </w:rPr>
              <w:t xml:space="preserve">18–30</w:t>
            </w:r>
          </w:p>
        </w:tc>
        <w:tc>
          <w:tcPr>
            <w:tcW w:type="dxa" w:w="3120"/>
            <w:shd w:fill="FFFFFF" w:val="clear"/>
            <w:tcMar>
              <w:top w:type="dxa" w:w="60"/>
              <w:left w:type="dxa" w:w="100"/>
              <w:bottom w:type="dxa" w:w="60"/>
              <w:right w:type="dxa" w:w="100"/>
            </w:tcMar>
            <w:vAlign w:val="center"/>
          </w:tcPr>
          <w:p>
            <w:r>
              <w:rPr>
                <w:b w:val="false"/>
                <w:bCs w:val="false"/>
                <w:sz w:val="19"/>
                <w:szCs w:val="19"/>
              </w:rPr>
              <w:t xml:space="preserve">7.5%</w:t>
            </w:r>
          </w:p>
        </w:tc>
        <w:tc>
          <w:tcPr>
            <w:tcW w:type="dxa" w:w="3120"/>
            <w:shd w:fill="FFFFFF" w:val="clear"/>
            <w:tcMar>
              <w:top w:type="dxa" w:w="60"/>
              <w:left w:type="dxa" w:w="100"/>
              <w:bottom w:type="dxa" w:w="60"/>
              <w:right w:type="dxa" w:w="100"/>
            </w:tcMar>
            <w:vAlign w:val="center"/>
          </w:tcPr>
          <w:p>
            <w:r>
              <w:rPr>
                <w:b w:val="false"/>
                <w:bCs w:val="false"/>
                <w:sz w:val="19"/>
                <w:szCs w:val="19"/>
              </w:rPr>
              <w:t xml:space="preserve">1,968</w:t>
            </w:r>
          </w:p>
        </w:tc>
      </w:tr>
      <w:tr>
        <w:tc>
          <w:tcPr>
            <w:tcW w:type="dxa" w:w="3120"/>
            <w:shd w:fill="EDF1F5" w:val="clear"/>
            <w:tcMar>
              <w:top w:type="dxa" w:w="60"/>
              <w:left w:type="dxa" w:w="100"/>
              <w:bottom w:type="dxa" w:w="60"/>
              <w:right w:type="dxa" w:w="100"/>
            </w:tcMar>
            <w:vAlign w:val="center"/>
          </w:tcPr>
          <w:p>
            <w:r>
              <w:rPr>
                <w:b/>
                <w:bCs/>
                <w:sz w:val="19"/>
                <w:szCs w:val="19"/>
              </w:rPr>
              <w:t xml:space="preserve">31–40</w:t>
            </w:r>
          </w:p>
        </w:tc>
        <w:tc>
          <w:tcPr>
            <w:tcW w:type="dxa" w:w="3120"/>
            <w:shd w:fill="EDF1F5" w:val="clear"/>
            <w:tcMar>
              <w:top w:type="dxa" w:w="60"/>
              <w:left w:type="dxa" w:w="100"/>
              <w:bottom w:type="dxa" w:w="60"/>
              <w:right w:type="dxa" w:w="100"/>
            </w:tcMar>
            <w:vAlign w:val="center"/>
          </w:tcPr>
          <w:p>
            <w:r>
              <w:rPr>
                <w:b w:val="false"/>
                <w:bCs w:val="false"/>
                <w:sz w:val="19"/>
                <w:szCs w:val="19"/>
              </w:rPr>
              <w:t xml:space="preserve">12.1%</w:t>
            </w:r>
          </w:p>
        </w:tc>
        <w:tc>
          <w:tcPr>
            <w:tcW w:type="dxa" w:w="3120"/>
            <w:shd w:fill="EDF1F5" w:val="clear"/>
            <w:tcMar>
              <w:top w:type="dxa" w:w="60"/>
              <w:left w:type="dxa" w:w="100"/>
              <w:bottom w:type="dxa" w:w="60"/>
              <w:right w:type="dxa" w:w="100"/>
            </w:tcMar>
            <w:vAlign w:val="center"/>
          </w:tcPr>
          <w:p>
            <w:r>
              <w:rPr>
                <w:b w:val="false"/>
                <w:bCs w:val="false"/>
                <w:sz w:val="19"/>
                <w:szCs w:val="19"/>
              </w:rPr>
              <w:t xml:space="preserve">4,451</w:t>
            </w:r>
          </w:p>
        </w:tc>
      </w:tr>
      <w:tr>
        <w:tc>
          <w:tcPr>
            <w:tcW w:type="dxa" w:w="3120"/>
            <w:shd w:fill="FFFFFF" w:val="clear"/>
            <w:tcMar>
              <w:top w:type="dxa" w:w="60"/>
              <w:left w:type="dxa" w:w="100"/>
              <w:bottom w:type="dxa" w:w="60"/>
              <w:right w:type="dxa" w:w="100"/>
            </w:tcMar>
            <w:vAlign w:val="center"/>
          </w:tcPr>
          <w:p>
            <w:r>
              <w:rPr>
                <w:b/>
                <w:bCs/>
                <w:sz w:val="19"/>
                <w:szCs w:val="19"/>
              </w:rPr>
              <w:t xml:space="preserve">41–50</w:t>
            </w:r>
          </w:p>
        </w:tc>
        <w:tc>
          <w:tcPr>
            <w:tcW w:type="dxa" w:w="3120"/>
            <w:shd w:fill="FFFFFF" w:val="clear"/>
            <w:tcMar>
              <w:top w:type="dxa" w:w="60"/>
              <w:left w:type="dxa" w:w="100"/>
              <w:bottom w:type="dxa" w:w="60"/>
              <w:right w:type="dxa" w:w="100"/>
            </w:tcMar>
            <w:vAlign w:val="center"/>
          </w:tcPr>
          <w:p>
            <w:r>
              <w:rPr>
                <w:b w:val="false"/>
                <w:bCs w:val="false"/>
                <w:sz w:val="19"/>
                <w:szCs w:val="19"/>
              </w:rPr>
              <w:t xml:space="preserve">34.0%</w:t>
            </w:r>
          </w:p>
        </w:tc>
        <w:tc>
          <w:tcPr>
            <w:tcW w:type="dxa" w:w="3120"/>
            <w:shd w:fill="FFFFFF" w:val="clear"/>
            <w:tcMar>
              <w:top w:type="dxa" w:w="60"/>
              <w:left w:type="dxa" w:w="100"/>
              <w:bottom w:type="dxa" w:w="60"/>
              <w:right w:type="dxa" w:w="100"/>
            </w:tcMar>
            <w:vAlign w:val="center"/>
          </w:tcPr>
          <w:p>
            <w:r>
              <w:rPr>
                <w:b w:val="false"/>
                <w:bCs w:val="false"/>
                <w:sz w:val="19"/>
                <w:szCs w:val="19"/>
              </w:rPr>
              <w:t xml:space="preserve">2,320</w:t>
            </w:r>
          </w:p>
        </w:tc>
      </w:tr>
      <w:tr>
        <w:tc>
          <w:tcPr>
            <w:tcW w:type="dxa" w:w="3120"/>
            <w:shd w:fill="EDF1F5" w:val="clear"/>
            <w:tcMar>
              <w:top w:type="dxa" w:w="60"/>
              <w:left w:type="dxa" w:w="100"/>
              <w:bottom w:type="dxa" w:w="60"/>
              <w:right w:type="dxa" w:w="100"/>
            </w:tcMar>
            <w:vAlign w:val="center"/>
          </w:tcPr>
          <w:p>
            <w:r>
              <w:rPr>
                <w:b/>
                <w:bCs/>
                <w:sz w:val="19"/>
                <w:szCs w:val="19"/>
              </w:rPr>
              <w:t xml:space="preserve">51–60</w:t>
            </w:r>
          </w:p>
        </w:tc>
        <w:tc>
          <w:tcPr>
            <w:tcW w:type="dxa" w:w="3120"/>
            <w:shd w:fill="EDF1F5" w:val="clear"/>
            <w:tcMar>
              <w:top w:type="dxa" w:w="60"/>
              <w:left w:type="dxa" w:w="100"/>
              <w:bottom w:type="dxa" w:w="60"/>
              <w:right w:type="dxa" w:w="100"/>
            </w:tcMar>
            <w:vAlign w:val="center"/>
          </w:tcPr>
          <w:p>
            <w:r>
              <w:rPr>
                <w:b w:val="false"/>
                <w:bCs w:val="false"/>
                <w:sz w:val="19"/>
                <w:szCs w:val="19"/>
              </w:rPr>
              <w:t xml:space="preserve">56.2%</w:t>
            </w:r>
          </w:p>
        </w:tc>
        <w:tc>
          <w:tcPr>
            <w:tcW w:type="dxa" w:w="3120"/>
            <w:shd w:fill="EDF1F5" w:val="clear"/>
            <w:tcMar>
              <w:top w:type="dxa" w:w="60"/>
              <w:left w:type="dxa" w:w="100"/>
              <w:bottom w:type="dxa" w:w="60"/>
              <w:right w:type="dxa" w:w="100"/>
            </w:tcMar>
            <w:vAlign w:val="center"/>
          </w:tcPr>
          <w:p>
            <w:r>
              <w:rPr>
                <w:b w:val="false"/>
                <w:bCs w:val="false"/>
                <w:sz w:val="19"/>
                <w:szCs w:val="19"/>
              </w:rPr>
              <w:t xml:space="preserve">797</w:t>
            </w:r>
          </w:p>
        </w:tc>
      </w:tr>
      <w:tr>
        <w:tc>
          <w:tcPr>
            <w:tcW w:type="dxa" w:w="3120"/>
            <w:shd w:fill="FFFFFF" w:val="clear"/>
            <w:tcMar>
              <w:top w:type="dxa" w:w="60"/>
              <w:left w:type="dxa" w:w="100"/>
              <w:bottom w:type="dxa" w:w="60"/>
              <w:right w:type="dxa" w:w="100"/>
            </w:tcMar>
            <w:vAlign w:val="center"/>
          </w:tcPr>
          <w:p>
            <w:r>
              <w:rPr>
                <w:b/>
                <w:bCs/>
                <w:sz w:val="19"/>
                <w:szCs w:val="19"/>
              </w:rPr>
              <w:t xml:space="preserve">61+</w:t>
            </w:r>
          </w:p>
        </w:tc>
        <w:tc>
          <w:tcPr>
            <w:tcW w:type="dxa" w:w="3120"/>
            <w:shd w:fill="FFFFFF" w:val="clear"/>
            <w:tcMar>
              <w:top w:type="dxa" w:w="60"/>
              <w:left w:type="dxa" w:w="100"/>
              <w:bottom w:type="dxa" w:w="60"/>
              <w:right w:type="dxa" w:w="100"/>
            </w:tcMar>
            <w:vAlign w:val="center"/>
          </w:tcPr>
          <w:p>
            <w:r>
              <w:rPr>
                <w:b w:val="false"/>
                <w:bCs w:val="false"/>
                <w:sz w:val="19"/>
                <w:szCs w:val="19"/>
              </w:rPr>
              <w:t xml:space="preserve">24.8%</w:t>
            </w:r>
          </w:p>
        </w:tc>
        <w:tc>
          <w:tcPr>
            <w:tcW w:type="dxa" w:w="3120"/>
            <w:shd w:fill="FFFFFF" w:val="clear"/>
            <w:tcMar>
              <w:top w:type="dxa" w:w="60"/>
              <w:left w:type="dxa" w:w="100"/>
              <w:bottom w:type="dxa" w:w="60"/>
              <w:right w:type="dxa" w:w="100"/>
            </w:tcMar>
            <w:vAlign w:val="center"/>
          </w:tcPr>
          <w:p>
            <w:r>
              <w:rPr>
                <w:b w:val="false"/>
                <w:bCs w:val="false"/>
                <w:sz w:val="19"/>
                <w:szCs w:val="19"/>
              </w:rPr>
              <w:t xml:space="preserve">464</w:t>
            </w:r>
          </w:p>
        </w:tc>
      </w:tr>
    </w:tbl>
    <w:p>
      <w:pPr>
        <w:spacing w:after="200" w:before="40"/>
      </w:pPr>
      <w:r>
        <w:rPr>
          <w:i/>
          <w:iCs/>
          <w:color w:val="595959"/>
          <w:sz w:val="18"/>
          <w:szCs w:val="18"/>
        </w:rPr>
        <w:t xml:space="preserve">Table 6. Churn rate by age band</w:t>
      </w:r>
    </w:p>
    <w:p>
      <w:pPr>
        <w:spacing w:after="160" w:line="300"/>
      </w:pPr>
      <w:r>
        <w:rPr>
          <w:sz w:val="21"/>
          <w:szCs w:val="21"/>
        </w:rPr>
        <w:t xml:space="preserve">Churn risk rises sharply through middle age and peaks in the 51–60 band before falling back for the oldest cohort (likely a mix of retirement-driven account closures earlier and long-tenure loyalty in the oldest group). Age is the strongest linearly-correlated numeric feature (r = 0.285).</w:t>
      </w:r>
    </w:p>
    <w:p>
      <w:pPr>
        <w:pStyle w:val="Heading2"/>
        <w:spacing w:after="120" w:before="260"/>
      </w:pPr>
      <w:r>
        <w:rPr>
          <w:b/>
          <w:bCs/>
          <w:color w:val="1F3B57"/>
          <w:sz w:val="24"/>
          <w:szCs w:val="24"/>
        </w:rPr>
        <w:t xml:space="preserve">4.6 Balance</w:t>
      </w:r>
    </w:p>
    <w:p>
      <w:pPr>
        <w:spacing w:after="160" w:line="300"/>
      </w:pPr>
      <w:r>
        <w:rPr>
          <w:sz w:val="21"/>
          <w:szCs w:val="21"/>
        </w:rPr>
        <w:t xml:space="preserve">Counter-intuitively, customers with a zero balance churn less (13.8%) than customers who carry a balance (24.1%). Zero-balance customers are disproportionately single-product, low-engagement accounts that were never deeply embedded with the bank to begin with — "churn" for this segment may already have effectively happened long before the Exited flag is set. This motivated the IsZeroBalance and BalanceSalaryRatio engineered features.</w:t>
      </w:r>
    </w:p>
    <w:p>
      <w:pPr>
        <w:pStyle w:val="Heading2"/>
        <w:spacing w:after="120" w:before="260"/>
      </w:pPr>
      <w:r>
        <w:rPr>
          <w:b/>
          <w:bCs/>
          <w:color w:val="1F3B57"/>
          <w:sz w:val="24"/>
          <w:szCs w:val="24"/>
        </w:rPr>
        <w:t xml:space="preserve">4.7 Credit Card Ownership</w:t>
      </w:r>
    </w:p>
    <w:p>
      <w:pPr>
        <w:spacing w:after="160" w:line="300"/>
      </w:pPr>
      <w:r>
        <w:rPr>
          <w:sz w:val="21"/>
          <w:szCs w:val="21"/>
        </w:rPr>
        <w:t xml:space="preserve">Churn rate is nearly identical for card holders (20.2%) and non-holders (20.8%) — HasCrCard is not a meaningful standalone churn signal, and this is confirmed later by both model feature importance and SHAP (lowest-ranked feature in both).</w:t>
      </w:r>
    </w:p>
    <w:p>
      <w:pPr>
        <w:pStyle w:val="Heading1"/>
        <w:pBdr>
          <w:bottom w:val="single" w:color="1F3B57" w:sz="6" w:space="4"/>
        </w:pBdr>
        <w:spacing w:after="160" w:before="360"/>
      </w:pPr>
      <w:r>
        <w:rPr>
          <w:b/>
          <w:bCs/>
          <w:color w:val="1F3B57"/>
          <w:sz w:val="28"/>
          <w:szCs w:val="28"/>
        </w:rPr>
        <w:t xml:space="preserve">5. Methodology</w:t>
      </w:r>
    </w:p>
    <w:p>
      <w:pPr>
        <w:pStyle w:val="Heading2"/>
        <w:spacing w:after="120" w:before="260"/>
      </w:pPr>
      <w:r>
        <w:rPr>
          <w:b/>
          <w:bCs/>
          <w:color w:val="1F3B57"/>
          <w:sz w:val="24"/>
          <w:szCs w:val="24"/>
        </w:rPr>
        <w:t xml:space="preserve">5.1 Data Preprocessing</w:t>
      </w:r>
    </w:p>
    <w:p>
      <w:pPr>
        <w:pStyle w:val="ListParagraph"/>
        <w:numPr>
          <w:ilvl w:val="0"/>
          <w:numId w:val="1"/>
        </w:numPr>
        <w:spacing w:after="90" w:line="280"/>
      </w:pPr>
      <w:r>
        <w:rPr>
          <w:sz w:val="21"/>
          <w:szCs w:val="21"/>
        </w:rPr>
        <w:t xml:space="preserve">No missing values were present; no imputation was required.</w:t>
      </w:r>
    </w:p>
    <w:p>
      <w:pPr>
        <w:pStyle w:val="ListParagraph"/>
        <w:numPr>
          <w:ilvl w:val="0"/>
          <w:numId w:val="1"/>
        </w:numPr>
        <w:spacing w:after="90" w:line="280"/>
      </w:pPr>
      <w:r>
        <w:rPr>
          <w:sz w:val="21"/>
          <w:szCs w:val="21"/>
        </w:rPr>
        <w:t xml:space="preserve">CustomerId and Surname were dropped as non-informative identifiers.</w:t>
      </w:r>
    </w:p>
    <w:p>
      <w:pPr>
        <w:pStyle w:val="ListParagraph"/>
        <w:numPr>
          <w:ilvl w:val="0"/>
          <w:numId w:val="1"/>
        </w:numPr>
        <w:spacing w:after="90" w:line="280"/>
      </w:pPr>
      <w:r>
        <w:rPr>
          <w:sz w:val="21"/>
          <w:szCs w:val="21"/>
        </w:rPr>
        <w:t xml:space="preserve">Geography and Gender were one-hot encoded (drop-first to avoid collinearity).</w:t>
      </w:r>
    </w:p>
    <w:p>
      <w:pPr>
        <w:pStyle w:val="ListParagraph"/>
        <w:numPr>
          <w:ilvl w:val="0"/>
          <w:numId w:val="1"/>
        </w:numPr>
        <w:spacing w:after="90" w:line="280"/>
      </w:pPr>
      <w:r>
        <w:rPr>
          <w:sz w:val="21"/>
          <w:szCs w:val="21"/>
        </w:rPr>
        <w:t xml:space="preserve">Numeric features were standardized (zero mean, unit variance) inside the modeling pipeline so that scaling is fit only on training data and applied consistently at inference time.</w:t>
      </w:r>
    </w:p>
    <w:p>
      <w:pPr>
        <w:pStyle w:val="Heading2"/>
        <w:spacing w:after="120" w:before="260"/>
      </w:pPr>
      <w:r>
        <w:rPr>
          <w:b/>
          <w:bCs/>
          <w:color w:val="1F3B57"/>
          <w:sz w:val="24"/>
          <w:szCs w:val="24"/>
        </w:rPr>
        <w:t xml:space="preserve">5.2 Feature Engineering</w:t>
      </w:r>
    </w:p>
    <w:p>
      <w:pPr>
        <w:spacing w:after="160" w:line="300"/>
      </w:pPr>
      <w:r>
        <w:rPr>
          <w:sz w:val="21"/>
          <w:szCs w:val="21"/>
        </w:rPr>
        <w:t xml:space="preserve">Four derived features were added, directly motivated by the EDA above: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2560"/>
        <w:gridCol w:w="4600"/>
      </w:tblGrid>
      <w:tr>
        <w:trPr>
          <w:tblHeader/>
        </w:trPr>
        <w:tc>
          <w:tcPr>
            <w:tcW w:type="dxa" w:w="2200"/>
            <w:shd w:fill="1F3B57" w:val="clear"/>
            <w:tcMar>
              <w:top w:type="dxa" w:w="80"/>
              <w:left w:type="dxa" w:w="100"/>
              <w:bottom w:type="dxa" w:w="80"/>
              <w:right w:type="dxa" w:w="100"/>
            </w:tcMar>
            <w:vAlign w:val="center"/>
          </w:tcPr>
          <w:p>
            <w:pPr>
              <w:jc w:val="left"/>
            </w:pPr>
            <w:r>
              <w:rPr>
                <w:b/>
                <w:bCs/>
                <w:color w:val="FFFFFF"/>
                <w:sz w:val="19"/>
                <w:szCs w:val="19"/>
              </w:rPr>
              <w:t xml:space="preserve">Feature</w:t>
            </w:r>
          </w:p>
        </w:tc>
        <w:tc>
          <w:tcPr>
            <w:tcW w:type="dxa" w:w="2560"/>
            <w:shd w:fill="1F3B57" w:val="clear"/>
            <w:tcMar>
              <w:top w:type="dxa" w:w="80"/>
              <w:left w:type="dxa" w:w="100"/>
              <w:bottom w:type="dxa" w:w="80"/>
              <w:right w:type="dxa" w:w="100"/>
            </w:tcMar>
            <w:vAlign w:val="center"/>
          </w:tcPr>
          <w:p>
            <w:pPr>
              <w:jc w:val="left"/>
            </w:pPr>
            <w:r>
              <w:rPr>
                <w:b/>
                <w:bCs/>
                <w:color w:val="FFFFFF"/>
                <w:sz w:val="19"/>
                <w:szCs w:val="19"/>
              </w:rPr>
              <w:t xml:space="preserve">Formula</w:t>
            </w:r>
          </w:p>
        </w:tc>
        <w:tc>
          <w:tcPr>
            <w:tcW w:type="dxa" w:w="4600"/>
            <w:shd w:fill="1F3B57" w:val="clear"/>
            <w:tcMar>
              <w:top w:type="dxa" w:w="80"/>
              <w:left w:type="dxa" w:w="100"/>
              <w:bottom w:type="dxa" w:w="80"/>
              <w:right w:type="dxa" w:w="100"/>
            </w:tcMar>
            <w:vAlign w:val="center"/>
          </w:tcPr>
          <w:p>
            <w:pPr>
              <w:jc w:val="left"/>
            </w:pPr>
            <w:r>
              <w:rPr>
                <w:b/>
                <w:bCs/>
                <w:color w:val="FFFFFF"/>
                <w:sz w:val="19"/>
                <w:szCs w:val="19"/>
              </w:rPr>
              <w:t xml:space="preserve">Rationale</w:t>
            </w:r>
          </w:p>
        </w:tc>
      </w:tr>
      <w:tr>
        <w:tc>
          <w:tcPr>
            <w:tcW w:type="dxa" w:w="2200"/>
            <w:shd w:fill="FFFFFF" w:val="clear"/>
            <w:tcMar>
              <w:top w:type="dxa" w:w="60"/>
              <w:left w:type="dxa" w:w="100"/>
              <w:bottom w:type="dxa" w:w="60"/>
              <w:right w:type="dxa" w:w="100"/>
            </w:tcMar>
            <w:vAlign w:val="center"/>
          </w:tcPr>
          <w:p>
            <w:r>
              <w:rPr>
                <w:b/>
                <w:bCs/>
                <w:sz w:val="19"/>
                <w:szCs w:val="19"/>
              </w:rPr>
              <w:t xml:space="preserve">BalanceSalaryRatio</w:t>
            </w:r>
          </w:p>
        </w:tc>
        <w:tc>
          <w:tcPr>
            <w:tcW w:type="dxa" w:w="2560"/>
            <w:shd w:fill="FFFFFF" w:val="clear"/>
            <w:tcMar>
              <w:top w:type="dxa" w:w="60"/>
              <w:left w:type="dxa" w:w="100"/>
              <w:bottom w:type="dxa" w:w="60"/>
              <w:right w:type="dxa" w:w="100"/>
            </w:tcMar>
            <w:vAlign w:val="center"/>
          </w:tcPr>
          <w:p>
            <w:r>
              <w:rPr>
                <w:b w:val="false"/>
                <w:bCs w:val="false"/>
                <w:sz w:val="19"/>
                <w:szCs w:val="19"/>
              </w:rPr>
              <w:t xml:space="preserve">Balance / (EstimatedSalary + 1)</w:t>
            </w:r>
          </w:p>
        </w:tc>
        <w:tc>
          <w:tcPr>
            <w:tcW w:type="dxa" w:w="4600"/>
            <w:shd w:fill="FFFFFF" w:val="clear"/>
            <w:tcMar>
              <w:top w:type="dxa" w:w="60"/>
              <w:left w:type="dxa" w:w="100"/>
              <w:bottom w:type="dxa" w:w="60"/>
              <w:right w:type="dxa" w:w="100"/>
            </w:tcMar>
            <w:vAlign w:val="center"/>
          </w:tcPr>
          <w:p>
            <w:r>
              <w:rPr>
                <w:b w:val="false"/>
                <w:bCs w:val="false"/>
                <w:sz w:val="19"/>
                <w:szCs w:val="19"/>
              </w:rPr>
              <w:t xml:space="preserve">Captures how much of a customer's earning power sits idle in the bank relative to income</w:t>
            </w:r>
          </w:p>
        </w:tc>
      </w:tr>
      <w:tr>
        <w:tc>
          <w:tcPr>
            <w:tcW w:type="dxa" w:w="2200"/>
            <w:shd w:fill="EDF1F5" w:val="clear"/>
            <w:tcMar>
              <w:top w:type="dxa" w:w="60"/>
              <w:left w:type="dxa" w:w="100"/>
              <w:bottom w:type="dxa" w:w="60"/>
              <w:right w:type="dxa" w:w="100"/>
            </w:tcMar>
            <w:vAlign w:val="center"/>
          </w:tcPr>
          <w:p>
            <w:r>
              <w:rPr>
                <w:b/>
                <w:bCs/>
                <w:sz w:val="19"/>
                <w:szCs w:val="19"/>
              </w:rPr>
              <w:t xml:space="preserve">ProductDensity</w:t>
            </w:r>
          </w:p>
        </w:tc>
        <w:tc>
          <w:tcPr>
            <w:tcW w:type="dxa" w:w="2560"/>
            <w:shd w:fill="EDF1F5" w:val="clear"/>
            <w:tcMar>
              <w:top w:type="dxa" w:w="60"/>
              <w:left w:type="dxa" w:w="100"/>
              <w:bottom w:type="dxa" w:w="60"/>
              <w:right w:type="dxa" w:w="100"/>
            </w:tcMar>
            <w:vAlign w:val="center"/>
          </w:tcPr>
          <w:p>
            <w:r>
              <w:rPr>
                <w:b w:val="false"/>
                <w:bCs w:val="false"/>
                <w:sz w:val="19"/>
                <w:szCs w:val="19"/>
              </w:rPr>
              <w:t xml:space="preserve">NumOfProducts / (Tenure + 1)</w:t>
            </w:r>
          </w:p>
        </w:tc>
        <w:tc>
          <w:tcPr>
            <w:tcW w:type="dxa" w:w="4600"/>
            <w:shd w:fill="EDF1F5" w:val="clear"/>
            <w:tcMar>
              <w:top w:type="dxa" w:w="60"/>
              <w:left w:type="dxa" w:w="100"/>
              <w:bottom w:type="dxa" w:w="60"/>
              <w:right w:type="dxa" w:w="100"/>
            </w:tcMar>
            <w:vAlign w:val="center"/>
          </w:tcPr>
          <w:p>
            <w:r>
              <w:rPr>
                <w:b w:val="false"/>
                <w:bCs w:val="false"/>
                <w:sz w:val="19"/>
                <w:szCs w:val="19"/>
              </w:rPr>
              <w:t xml:space="preserve">Products acquired per year of relationship — fast product accumulation vs. organic growth</w:t>
            </w:r>
          </w:p>
        </w:tc>
      </w:tr>
      <w:tr>
        <w:tc>
          <w:tcPr>
            <w:tcW w:type="dxa" w:w="2200"/>
            <w:shd w:fill="FFFFFF" w:val="clear"/>
            <w:tcMar>
              <w:top w:type="dxa" w:w="60"/>
              <w:left w:type="dxa" w:w="100"/>
              <w:bottom w:type="dxa" w:w="60"/>
              <w:right w:type="dxa" w:w="100"/>
            </w:tcMar>
            <w:vAlign w:val="center"/>
          </w:tcPr>
          <w:p>
            <w:r>
              <w:rPr>
                <w:b/>
                <w:bCs/>
                <w:sz w:val="19"/>
                <w:szCs w:val="19"/>
              </w:rPr>
              <w:t xml:space="preserve">EngagementProductScore</w:t>
            </w:r>
          </w:p>
        </w:tc>
        <w:tc>
          <w:tcPr>
            <w:tcW w:type="dxa" w:w="2560"/>
            <w:shd w:fill="FFFFFF" w:val="clear"/>
            <w:tcMar>
              <w:top w:type="dxa" w:w="60"/>
              <w:left w:type="dxa" w:w="100"/>
              <w:bottom w:type="dxa" w:w="60"/>
              <w:right w:type="dxa" w:w="100"/>
            </w:tcMar>
            <w:vAlign w:val="center"/>
          </w:tcPr>
          <w:p>
            <w:r>
              <w:rPr>
                <w:b w:val="false"/>
                <w:bCs w:val="false"/>
                <w:sz w:val="19"/>
                <w:szCs w:val="19"/>
              </w:rPr>
              <w:t xml:space="preserve">IsActiveMember × NumOfProducts</w:t>
            </w:r>
          </w:p>
        </w:tc>
        <w:tc>
          <w:tcPr>
            <w:tcW w:type="dxa" w:w="4600"/>
            <w:shd w:fill="FFFFFF" w:val="clear"/>
            <w:tcMar>
              <w:top w:type="dxa" w:w="60"/>
              <w:left w:type="dxa" w:w="100"/>
              <w:bottom w:type="dxa" w:w="60"/>
              <w:right w:type="dxa" w:w="100"/>
            </w:tcMar>
            <w:vAlign w:val="center"/>
          </w:tcPr>
          <w:p>
            <w:r>
              <w:rPr>
                <w:b w:val="false"/>
                <w:bCs w:val="false"/>
                <w:sz w:val="19"/>
                <w:szCs w:val="19"/>
              </w:rPr>
              <w:t xml:space="preserve">Interaction between the two strongest EDA drivers — an active, multi-product customer is structurally different from an inactive one with the same product count</w:t>
            </w:r>
          </w:p>
        </w:tc>
      </w:tr>
      <w:tr>
        <w:tc>
          <w:tcPr>
            <w:tcW w:type="dxa" w:w="2200"/>
            <w:shd w:fill="EDF1F5" w:val="clear"/>
            <w:tcMar>
              <w:top w:type="dxa" w:w="60"/>
              <w:left w:type="dxa" w:w="100"/>
              <w:bottom w:type="dxa" w:w="60"/>
              <w:right w:type="dxa" w:w="100"/>
            </w:tcMar>
            <w:vAlign w:val="center"/>
          </w:tcPr>
          <w:p>
            <w:r>
              <w:rPr>
                <w:b/>
                <w:bCs/>
                <w:sz w:val="19"/>
                <w:szCs w:val="19"/>
              </w:rPr>
              <w:t xml:space="preserve">AgeTenureInteraction</w:t>
            </w:r>
          </w:p>
        </w:tc>
        <w:tc>
          <w:tcPr>
            <w:tcW w:type="dxa" w:w="2560"/>
            <w:shd w:fill="EDF1F5" w:val="clear"/>
            <w:tcMar>
              <w:top w:type="dxa" w:w="60"/>
              <w:left w:type="dxa" w:w="100"/>
              <w:bottom w:type="dxa" w:w="60"/>
              <w:right w:type="dxa" w:w="100"/>
            </w:tcMar>
            <w:vAlign w:val="center"/>
          </w:tcPr>
          <w:p>
            <w:r>
              <w:rPr>
                <w:b w:val="false"/>
                <w:bCs w:val="false"/>
                <w:sz w:val="19"/>
                <w:szCs w:val="19"/>
              </w:rPr>
              <w:t xml:space="preserve">Age × Tenure</w:t>
            </w:r>
          </w:p>
        </w:tc>
        <w:tc>
          <w:tcPr>
            <w:tcW w:type="dxa" w:w="4600"/>
            <w:shd w:fill="EDF1F5" w:val="clear"/>
            <w:tcMar>
              <w:top w:type="dxa" w:w="60"/>
              <w:left w:type="dxa" w:w="100"/>
              <w:bottom w:type="dxa" w:w="60"/>
              <w:right w:type="dxa" w:w="100"/>
            </w:tcMar>
            <w:vAlign w:val="center"/>
          </w:tcPr>
          <w:p>
            <w:r>
              <w:rPr>
                <w:b w:val="false"/>
                <w:bCs w:val="false"/>
                <w:sz w:val="19"/>
                <w:szCs w:val="19"/>
              </w:rPr>
              <w:t xml:space="preserve">Distinguishes long-standing older customers from recently-joined older customers</w:t>
            </w:r>
          </w:p>
        </w:tc>
      </w:tr>
      <w:tr>
        <w:tc>
          <w:tcPr>
            <w:tcW w:type="dxa" w:w="2200"/>
            <w:shd w:fill="FFFFFF" w:val="clear"/>
            <w:tcMar>
              <w:top w:type="dxa" w:w="60"/>
              <w:left w:type="dxa" w:w="100"/>
              <w:bottom w:type="dxa" w:w="60"/>
              <w:right w:type="dxa" w:w="100"/>
            </w:tcMar>
            <w:vAlign w:val="center"/>
          </w:tcPr>
          <w:p>
            <w:r>
              <w:rPr>
                <w:b/>
                <w:bCs/>
                <w:sz w:val="19"/>
                <w:szCs w:val="19"/>
              </w:rPr>
              <w:t xml:space="preserve">IsZeroBalance</w:t>
            </w:r>
          </w:p>
        </w:tc>
        <w:tc>
          <w:tcPr>
            <w:tcW w:type="dxa" w:w="2560"/>
            <w:shd w:fill="FFFFFF" w:val="clear"/>
            <w:tcMar>
              <w:top w:type="dxa" w:w="60"/>
              <w:left w:type="dxa" w:w="100"/>
              <w:bottom w:type="dxa" w:w="60"/>
              <w:right w:type="dxa" w:w="100"/>
            </w:tcMar>
            <w:vAlign w:val="center"/>
          </w:tcPr>
          <w:p>
            <w:r>
              <w:rPr>
                <w:b w:val="false"/>
                <w:bCs w:val="false"/>
                <w:sz w:val="19"/>
                <w:szCs w:val="19"/>
              </w:rPr>
              <w:t xml:space="preserve">Balance == 0</w:t>
            </w:r>
          </w:p>
        </w:tc>
        <w:tc>
          <w:tcPr>
            <w:tcW w:type="dxa" w:w="4600"/>
            <w:shd w:fill="FFFFFF" w:val="clear"/>
            <w:tcMar>
              <w:top w:type="dxa" w:w="60"/>
              <w:left w:type="dxa" w:w="100"/>
              <w:bottom w:type="dxa" w:w="60"/>
              <w:right w:type="dxa" w:w="100"/>
            </w:tcMar>
            <w:vAlign w:val="center"/>
          </w:tcPr>
          <w:p>
            <w:r>
              <w:rPr>
                <w:b w:val="false"/>
                <w:bCs w:val="false"/>
                <w:sz w:val="19"/>
                <w:szCs w:val="19"/>
              </w:rPr>
              <w:t xml:space="preserve">Explicit flag for the counter-intuitive zero-balance segment identified in EDA</w:t>
            </w:r>
          </w:p>
        </w:tc>
      </w:tr>
    </w:tbl>
    <w:p>
      <w:pPr>
        <w:spacing w:after="200" w:before="40"/>
      </w:pPr>
      <w:r>
        <w:rPr>
          <w:i/>
          <w:iCs/>
          <w:color w:val="595959"/>
          <w:sz w:val="18"/>
          <w:szCs w:val="18"/>
        </w:rPr>
        <w:t xml:space="preserve">Table 7. Engineered features</w:t>
      </w:r>
    </w:p>
    <w:p>
      <w:pPr>
        <w:pStyle w:val="Heading2"/>
        <w:spacing w:after="120" w:before="260"/>
      </w:pPr>
      <w:r>
        <w:rPr>
          <w:b/>
          <w:bCs/>
          <w:color w:val="1F3B57"/>
          <w:sz w:val="24"/>
          <w:szCs w:val="24"/>
        </w:rPr>
        <w:t xml:space="preserve">5.3 Train/Test Strategy</w:t>
      </w:r>
    </w:p>
    <w:p>
      <w:pPr>
        <w:pStyle w:val="ListParagraph"/>
        <w:numPr>
          <w:ilvl w:val="0"/>
          <w:numId w:val="1"/>
        </w:numPr>
        <w:spacing w:after="90" w:line="280"/>
      </w:pPr>
      <w:r>
        <w:rPr>
          <w:sz w:val="21"/>
          <w:szCs w:val="21"/>
        </w:rPr>
        <w:t xml:space="preserve">Stratified 80/20 train-test split, preserving the 20.4% churn rate in both partitions.</w:t>
      </w:r>
    </w:p>
    <w:p>
      <w:pPr>
        <w:pStyle w:val="ListParagraph"/>
        <w:numPr>
          <w:ilvl w:val="0"/>
          <w:numId w:val="1"/>
        </w:numPr>
        <w:spacing w:after="90" w:line="280"/>
      </w:pPr>
      <w:r>
        <w:rPr>
          <w:sz w:val="21"/>
          <w:szCs w:val="21"/>
        </w:rPr>
        <w:t xml:space="preserve">5-fold stratified cross-validation on the training set for every model, to validate that test-set performance generalizes rather than reflecting a favorable split.</w:t>
      </w:r>
    </w:p>
    <w:p>
      <w:pPr>
        <w:pStyle w:val="Heading2"/>
        <w:spacing w:after="120" w:before="260"/>
      </w:pPr>
      <w:r>
        <w:rPr>
          <w:b/>
          <w:bCs/>
          <w:color w:val="1F3B57"/>
          <w:sz w:val="24"/>
          <w:szCs w:val="24"/>
        </w:rPr>
        <w:t xml:space="preserve">5.4 Models Benchmarked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340"/>
        <w:gridCol w:w="7020"/>
      </w:tblGrid>
      <w:tr>
        <w:trPr>
          <w:tblHeader/>
        </w:trPr>
        <w:tc>
          <w:tcPr>
            <w:tcW w:type="dxa" w:w="2340"/>
            <w:shd w:fill="1F3B57" w:val="clear"/>
            <w:tcMar>
              <w:top w:type="dxa" w:w="80"/>
              <w:left w:type="dxa" w:w="100"/>
              <w:bottom w:type="dxa" w:w="80"/>
              <w:right w:type="dxa" w:w="100"/>
            </w:tcMar>
            <w:vAlign w:val="center"/>
          </w:tcPr>
          <w:p>
            <w:pPr>
              <w:jc w:val="left"/>
            </w:pPr>
            <w:r>
              <w:rPr>
                <w:b/>
                <w:bCs/>
                <w:color w:val="FFFFFF"/>
                <w:sz w:val="19"/>
                <w:szCs w:val="19"/>
              </w:rPr>
              <w:t xml:space="preserve">Tier</w:t>
            </w:r>
          </w:p>
        </w:tc>
        <w:tc>
          <w:tcPr>
            <w:tcW w:type="dxa" w:w="7020"/>
            <w:shd w:fill="1F3B57" w:val="clear"/>
            <w:tcMar>
              <w:top w:type="dxa" w:w="80"/>
              <w:left w:type="dxa" w:w="100"/>
              <w:bottom w:type="dxa" w:w="80"/>
              <w:right w:type="dxa" w:w="100"/>
            </w:tcMar>
            <w:vAlign w:val="center"/>
          </w:tcPr>
          <w:p>
            <w:pPr>
              <w:jc w:val="left"/>
            </w:pPr>
            <w:r>
              <w:rPr>
                <w:b/>
                <w:bCs/>
                <w:color w:val="FFFFFF"/>
                <w:sz w:val="19"/>
                <w:szCs w:val="19"/>
              </w:rPr>
              <w:t xml:space="preserve">Model</w:t>
            </w:r>
          </w:p>
        </w:tc>
      </w:tr>
      <w:tr>
        <w:tc>
          <w:tcPr>
            <w:tcW w:type="dxa" w:w="2340"/>
            <w:shd w:fill="FFFFFF" w:val="clear"/>
            <w:tcMar>
              <w:top w:type="dxa" w:w="60"/>
              <w:left w:type="dxa" w:w="100"/>
              <w:bottom w:type="dxa" w:w="60"/>
              <w:right w:type="dxa" w:w="100"/>
            </w:tcMar>
            <w:vAlign w:val="center"/>
          </w:tcPr>
          <w:p>
            <w:r>
              <w:rPr>
                <w:b/>
                <w:bCs/>
                <w:sz w:val="19"/>
                <w:szCs w:val="19"/>
              </w:rPr>
              <w:t xml:space="preserve">Baseline</w:t>
            </w:r>
          </w:p>
        </w:tc>
        <w:tc>
          <w:tcPr>
            <w:tcW w:type="dxa" w:w="7020"/>
            <w:shd w:fill="FFFFFF" w:val="clear"/>
            <w:tcMar>
              <w:top w:type="dxa" w:w="60"/>
              <w:left w:type="dxa" w:w="100"/>
              <w:bottom w:type="dxa" w:w="60"/>
              <w:right w:type="dxa" w:w="100"/>
            </w:tcMar>
            <w:vAlign w:val="center"/>
          </w:tcPr>
          <w:p>
            <w:r>
              <w:rPr>
                <w:b w:val="false"/>
                <w:bCs w:val="false"/>
                <w:sz w:val="19"/>
                <w:szCs w:val="19"/>
              </w:rPr>
              <w:t xml:space="preserve">Logistic Regression (class_weight="balanced") — interpretability benchmark</w:t>
            </w:r>
          </w:p>
        </w:tc>
      </w:tr>
      <w:tr>
        <w:tc>
          <w:tcPr>
            <w:tcW w:type="dxa" w:w="2340"/>
            <w:shd w:fill="EDF1F5" w:val="clear"/>
            <w:tcMar>
              <w:top w:type="dxa" w:w="60"/>
              <w:left w:type="dxa" w:w="100"/>
              <w:bottom w:type="dxa" w:w="60"/>
              <w:right w:type="dxa" w:w="100"/>
            </w:tcMar>
            <w:vAlign w:val="center"/>
          </w:tcPr>
          <w:p>
            <w:r>
              <w:rPr>
                <w:b/>
                <w:bCs/>
                <w:sz w:val="19"/>
                <w:szCs w:val="19"/>
              </w:rPr>
              <w:t xml:space="preserve">Tree-based</w:t>
            </w:r>
          </w:p>
        </w:tc>
        <w:tc>
          <w:tcPr>
            <w:tcW w:type="dxa" w:w="7020"/>
            <w:shd w:fill="EDF1F5" w:val="clear"/>
            <w:tcMar>
              <w:top w:type="dxa" w:w="60"/>
              <w:left w:type="dxa" w:w="100"/>
              <w:bottom w:type="dxa" w:w="60"/>
              <w:right w:type="dxa" w:w="100"/>
            </w:tcMar>
            <w:vAlign w:val="center"/>
          </w:tcPr>
          <w:p>
            <w:r>
              <w:rPr>
                <w:b w:val="false"/>
                <w:bCs w:val="false"/>
                <w:sz w:val="19"/>
                <w:szCs w:val="19"/>
              </w:rPr>
              <w:t xml:space="preserve">Decision Tree (depth-limited, class_weight="balanced")</w:t>
            </w:r>
          </w:p>
        </w:tc>
      </w:tr>
      <w:tr>
        <w:tc>
          <w:tcPr>
            <w:tcW w:type="dxa" w:w="2340"/>
            <w:shd w:fill="FFFFFF" w:val="clear"/>
            <w:tcMar>
              <w:top w:type="dxa" w:w="60"/>
              <w:left w:type="dxa" w:w="100"/>
              <w:bottom w:type="dxa" w:w="60"/>
              <w:right w:type="dxa" w:w="100"/>
            </w:tcMar>
            <w:vAlign w:val="center"/>
          </w:tcPr>
          <w:p>
            <w:r>
              <w:rPr>
                <w:b/>
                <w:bCs/>
                <w:sz w:val="19"/>
                <w:szCs w:val="19"/>
              </w:rPr>
              <w:t xml:space="preserve">Tree-based</w:t>
            </w:r>
          </w:p>
        </w:tc>
        <w:tc>
          <w:tcPr>
            <w:tcW w:type="dxa" w:w="7020"/>
            <w:shd w:fill="FFFFFF" w:val="clear"/>
            <w:tcMar>
              <w:top w:type="dxa" w:w="60"/>
              <w:left w:type="dxa" w:w="100"/>
              <w:bottom w:type="dxa" w:w="60"/>
              <w:right w:type="dxa" w:w="100"/>
            </w:tcMar>
            <w:vAlign w:val="center"/>
          </w:tcPr>
          <w:p>
            <w:r>
              <w:rPr>
                <w:b w:val="false"/>
                <w:bCs w:val="false"/>
                <w:sz w:val="19"/>
                <w:szCs w:val="19"/>
              </w:rPr>
              <w:t xml:space="preserve">Random Forest (400 trees, class_weight="balanced")</w:t>
            </w:r>
          </w:p>
        </w:tc>
      </w:tr>
      <w:tr>
        <w:tc>
          <w:tcPr>
            <w:tcW w:type="dxa" w:w="2340"/>
            <w:shd w:fill="EDF1F5" w:val="clear"/>
            <w:tcMar>
              <w:top w:type="dxa" w:w="60"/>
              <w:left w:type="dxa" w:w="100"/>
              <w:bottom w:type="dxa" w:w="60"/>
              <w:right w:type="dxa" w:w="100"/>
            </w:tcMar>
            <w:vAlign w:val="center"/>
          </w:tcPr>
          <w:p>
            <w:r>
              <w:rPr>
                <w:b/>
                <w:bCs/>
                <w:sz w:val="19"/>
                <w:szCs w:val="19"/>
              </w:rPr>
              <w:t xml:space="preserve">Advanced</w:t>
            </w:r>
          </w:p>
        </w:tc>
        <w:tc>
          <w:tcPr>
            <w:tcW w:type="dxa" w:w="7020"/>
            <w:shd w:fill="EDF1F5" w:val="clear"/>
            <w:tcMar>
              <w:top w:type="dxa" w:w="60"/>
              <w:left w:type="dxa" w:w="100"/>
              <w:bottom w:type="dxa" w:w="60"/>
              <w:right w:type="dxa" w:w="100"/>
            </w:tcMar>
            <w:vAlign w:val="center"/>
          </w:tcPr>
          <w:p>
            <w:r>
              <w:rPr>
                <w:b w:val="false"/>
                <w:bCs w:val="false"/>
                <w:sz w:val="19"/>
                <w:szCs w:val="19"/>
              </w:rPr>
              <w:t xml:space="preserve">Gradient Boosting (250 estimators)</w:t>
            </w:r>
          </w:p>
        </w:tc>
      </w:tr>
      <w:tr>
        <w:tc>
          <w:tcPr>
            <w:tcW w:type="dxa" w:w="2340"/>
            <w:shd w:fill="FFFFFF" w:val="clear"/>
            <w:tcMar>
              <w:top w:type="dxa" w:w="60"/>
              <w:left w:type="dxa" w:w="100"/>
              <w:bottom w:type="dxa" w:w="60"/>
              <w:right w:type="dxa" w:w="100"/>
            </w:tcMar>
            <w:vAlign w:val="center"/>
          </w:tcPr>
          <w:p>
            <w:r>
              <w:rPr>
                <w:b/>
                <w:bCs/>
                <w:sz w:val="19"/>
                <w:szCs w:val="19"/>
              </w:rPr>
              <w:t xml:space="preserve">Advanced</w:t>
            </w:r>
          </w:p>
        </w:tc>
        <w:tc>
          <w:tcPr>
            <w:tcW w:type="dxa" w:w="7020"/>
            <w:shd w:fill="FFFFFF" w:val="clear"/>
            <w:tcMar>
              <w:top w:type="dxa" w:w="60"/>
              <w:left w:type="dxa" w:w="100"/>
              <w:bottom w:type="dxa" w:w="60"/>
              <w:right w:type="dxa" w:w="100"/>
            </w:tcMar>
            <w:vAlign w:val="center"/>
          </w:tcPr>
          <w:p>
            <w:r>
              <w:rPr>
                <w:b w:val="false"/>
                <w:bCs w:val="false"/>
                <w:sz w:val="19"/>
                <w:szCs w:val="19"/>
              </w:rPr>
              <w:t xml:space="preserve">XGBoost</w:t>
            </w:r>
          </w:p>
        </w:tc>
      </w:tr>
    </w:tbl>
    <w:p>
      <w:pPr>
        <w:spacing w:after="200" w:before="40"/>
      </w:pPr>
      <w:r>
        <w:rPr>
          <w:i/>
          <w:iCs/>
          <w:color w:val="595959"/>
          <w:sz w:val="18"/>
          <w:szCs w:val="18"/>
        </w:rPr>
        <w:t xml:space="preserve">Table 8. Models benchmarked</w:t>
      </w:r>
    </w:p>
    <w:p>
      <w:pPr>
        <w:spacing w:after="160" w:line="300"/>
      </w:pPr>
      <w:r>
        <w:rPr>
          <w:sz w:val="21"/>
          <w:szCs w:val="21"/>
        </w:rPr>
        <w:t xml:space="preserve">All models are wrapped in a single scikit-learn Pipeline (preprocessing + estimator) to prevent train/test leakage and to make the exact same object deployable in the Streamlit application.</w:t>
      </w:r>
    </w:p>
    <w:p>
      <w:pPr>
        <w:pStyle w:val="Heading1"/>
        <w:pBdr>
          <w:bottom w:val="single" w:color="1F3B57" w:sz="6" w:space="4"/>
        </w:pBdr>
        <w:spacing w:after="160" w:before="360"/>
      </w:pPr>
      <w:r>
        <w:rPr>
          <w:b/>
          <w:bCs/>
          <w:color w:val="1F3B57"/>
          <w:sz w:val="28"/>
          <w:szCs w:val="28"/>
        </w:rPr>
        <w:t xml:space="preserve">6. Model Evaluation</w:t>
      </w:r>
    </w:p>
    <w:p>
      <w:pPr>
        <w:spacing w:after="160" w:line="300"/>
      </w:pPr>
      <w:r>
        <w:rPr>
          <w:sz w:val="21"/>
          <w:szCs w:val="21"/>
        </w:rPr>
        <w:t xml:space="preserve">Results on the held-out 2,000-customer test set: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800"/>
        <w:gridCol w:w="1080"/>
        <w:gridCol w:w="1080"/>
        <w:gridCol w:w="1000"/>
        <w:gridCol w:w="900"/>
        <w:gridCol w:w="1000"/>
        <w:gridCol w:w="2500"/>
      </w:tblGrid>
      <w:tr>
        <w:trPr>
          <w:tblHeader/>
        </w:trPr>
        <w:tc>
          <w:tcPr>
            <w:tcW w:type="dxa" w:w="1800"/>
            <w:shd w:fill="1F3B57" w:val="clear"/>
            <w:tcMar>
              <w:top w:type="dxa" w:w="80"/>
              <w:left w:type="dxa" w:w="100"/>
              <w:bottom w:type="dxa" w:w="80"/>
              <w:right w:type="dxa" w:w="100"/>
            </w:tcMar>
            <w:vAlign w:val="center"/>
          </w:tcPr>
          <w:p>
            <w:pPr>
              <w:jc w:val="left"/>
            </w:pPr>
            <w:r>
              <w:rPr>
                <w:b/>
                <w:bCs/>
                <w:color w:val="FFFFFF"/>
                <w:sz w:val="19"/>
                <w:szCs w:val="19"/>
              </w:rPr>
              <w:t xml:space="preserve">Model</w:t>
            </w:r>
          </w:p>
        </w:tc>
        <w:tc>
          <w:tcPr>
            <w:tcW w:type="dxa" w:w="1080"/>
            <w:shd w:fill="1F3B57" w:val="clear"/>
            <w:tcMar>
              <w:top w:type="dxa" w:w="80"/>
              <w:left w:type="dxa" w:w="100"/>
              <w:bottom w:type="dxa" w:w="80"/>
              <w:right w:type="dxa" w:w="100"/>
            </w:tcMar>
            <w:vAlign w:val="center"/>
          </w:tcPr>
          <w:p>
            <w:pPr>
              <w:jc w:val="left"/>
            </w:pPr>
            <w:r>
              <w:rPr>
                <w:b/>
                <w:bCs/>
                <w:color w:val="FFFFFF"/>
                <w:sz w:val="19"/>
                <w:szCs w:val="19"/>
              </w:rPr>
              <w:t xml:space="preserve">Accuracy</w:t>
            </w:r>
          </w:p>
        </w:tc>
        <w:tc>
          <w:tcPr>
            <w:tcW w:type="dxa" w:w="1080"/>
            <w:shd w:fill="1F3B57" w:val="clear"/>
            <w:tcMar>
              <w:top w:type="dxa" w:w="80"/>
              <w:left w:type="dxa" w:w="100"/>
              <w:bottom w:type="dxa" w:w="80"/>
              <w:right w:type="dxa" w:w="100"/>
            </w:tcMar>
            <w:vAlign w:val="center"/>
          </w:tcPr>
          <w:p>
            <w:pPr>
              <w:jc w:val="left"/>
            </w:pPr>
            <w:r>
              <w:rPr>
                <w:b/>
                <w:bCs/>
                <w:color w:val="FFFFFF"/>
                <w:sz w:val="19"/>
                <w:szCs w:val="19"/>
              </w:rPr>
              <w:t xml:space="preserve">Precision</w:t>
            </w:r>
          </w:p>
        </w:tc>
        <w:tc>
          <w:tcPr>
            <w:tcW w:type="dxa" w:w="1000"/>
            <w:shd w:fill="1F3B57" w:val="clear"/>
            <w:tcMar>
              <w:top w:type="dxa" w:w="80"/>
              <w:left w:type="dxa" w:w="100"/>
              <w:bottom w:type="dxa" w:w="80"/>
              <w:right w:type="dxa" w:w="100"/>
            </w:tcMar>
            <w:vAlign w:val="center"/>
          </w:tcPr>
          <w:p>
            <w:pPr>
              <w:jc w:val="left"/>
            </w:pPr>
            <w:r>
              <w:rPr>
                <w:b/>
                <w:bCs/>
                <w:color w:val="FFFFFF"/>
                <w:sz w:val="19"/>
                <w:szCs w:val="19"/>
              </w:rPr>
              <w:t xml:space="preserve">Recall</w:t>
            </w:r>
          </w:p>
        </w:tc>
        <w:tc>
          <w:tcPr>
            <w:tcW w:type="dxa" w:w="900"/>
            <w:shd w:fill="1F3B57" w:val="clear"/>
            <w:tcMar>
              <w:top w:type="dxa" w:w="80"/>
              <w:left w:type="dxa" w:w="100"/>
              <w:bottom w:type="dxa" w:w="80"/>
              <w:right w:type="dxa" w:w="100"/>
            </w:tcMar>
            <w:vAlign w:val="center"/>
          </w:tcPr>
          <w:p>
            <w:pPr>
              <w:jc w:val="left"/>
            </w:pPr>
            <w:r>
              <w:rPr>
                <w:b/>
                <w:bCs/>
                <w:color w:val="FFFFFF"/>
                <w:sz w:val="19"/>
                <w:szCs w:val="19"/>
              </w:rPr>
              <w:t xml:space="preserve">F1</w:t>
            </w:r>
          </w:p>
        </w:tc>
        <w:tc>
          <w:tcPr>
            <w:tcW w:type="dxa" w:w="1000"/>
            <w:shd w:fill="1F3B57" w:val="clear"/>
            <w:tcMar>
              <w:top w:type="dxa" w:w="80"/>
              <w:left w:type="dxa" w:w="100"/>
              <w:bottom w:type="dxa" w:w="80"/>
              <w:right w:type="dxa" w:w="100"/>
            </w:tcMar>
            <w:vAlign w:val="center"/>
          </w:tcPr>
          <w:p>
            <w:pPr>
              <w:jc w:val="left"/>
            </w:pPr>
            <w:r>
              <w:rPr>
                <w:b/>
                <w:bCs/>
                <w:color w:val="FFFFFF"/>
                <w:sz w:val="19"/>
                <w:szCs w:val="19"/>
              </w:rPr>
              <w:t xml:space="preserve">ROC-AUC</w:t>
            </w:r>
          </w:p>
        </w:tc>
        <w:tc>
          <w:tcPr>
            <w:tcW w:type="dxa" w:w="2500"/>
            <w:shd w:fill="1F3B57" w:val="clear"/>
            <w:tcMar>
              <w:top w:type="dxa" w:w="80"/>
              <w:left w:type="dxa" w:w="100"/>
              <w:bottom w:type="dxa" w:w="80"/>
              <w:right w:type="dxa" w:w="100"/>
            </w:tcMar>
            <w:vAlign w:val="center"/>
          </w:tcPr>
          <w:p>
            <w:pPr>
              <w:jc w:val="left"/>
            </w:pPr>
            <w:r>
              <w:rPr>
                <w:b/>
                <w:bCs/>
                <w:color w:val="FFFFFF"/>
                <w:sz w:val="19"/>
                <w:szCs w:val="19"/>
              </w:rPr>
              <w:t xml:space="preserve">5-fold CV ROC-AUC</w:t>
            </w:r>
          </w:p>
        </w:tc>
      </w:tr>
      <w:tr>
        <w:tc>
          <w:tcPr>
            <w:tcW w:type="dxa" w:w="1800"/>
            <w:shd w:fill="FFFFFF" w:val="clear"/>
            <w:tcMar>
              <w:top w:type="dxa" w:w="60"/>
              <w:left w:type="dxa" w:w="100"/>
              <w:bottom w:type="dxa" w:w="60"/>
              <w:right w:type="dxa" w:w="100"/>
            </w:tcMar>
            <w:vAlign w:val="center"/>
          </w:tcPr>
          <w:p>
            <w:r>
              <w:rPr>
                <w:b/>
                <w:bCs/>
                <w:sz w:val="19"/>
                <w:szCs w:val="19"/>
              </w:rPr>
              <w:t xml:space="preserve">Gradient Boosting</w:t>
            </w:r>
          </w:p>
        </w:tc>
        <w:tc>
          <w:tcPr>
            <w:tcW w:type="dxa" w:w="1080"/>
            <w:shd w:fill="FFFFFF" w:val="clear"/>
            <w:tcMar>
              <w:top w:type="dxa" w:w="60"/>
              <w:left w:type="dxa" w:w="100"/>
              <w:bottom w:type="dxa" w:w="60"/>
              <w:right w:type="dxa" w:w="100"/>
            </w:tcMar>
            <w:vAlign w:val="center"/>
          </w:tcPr>
          <w:p>
            <w:r>
              <w:rPr>
                <w:b w:val="false"/>
                <w:bCs w:val="false"/>
                <w:sz w:val="19"/>
                <w:szCs w:val="19"/>
              </w:rPr>
              <w:t xml:space="preserve">0.872</w:t>
            </w:r>
          </w:p>
        </w:tc>
        <w:tc>
          <w:tcPr>
            <w:tcW w:type="dxa" w:w="1080"/>
            <w:shd w:fill="FFFFFF" w:val="clear"/>
            <w:tcMar>
              <w:top w:type="dxa" w:w="60"/>
              <w:left w:type="dxa" w:w="100"/>
              <w:bottom w:type="dxa" w:w="60"/>
              <w:right w:type="dxa" w:w="100"/>
            </w:tcMar>
            <w:vAlign w:val="center"/>
          </w:tcPr>
          <w:p>
            <w:r>
              <w:rPr>
                <w:b w:val="false"/>
                <w:bCs w:val="false"/>
                <w:sz w:val="19"/>
                <w:szCs w:val="19"/>
              </w:rPr>
              <w:t xml:space="preserve">0.794</w:t>
            </w:r>
          </w:p>
        </w:tc>
        <w:tc>
          <w:tcPr>
            <w:tcW w:type="dxa" w:w="1000"/>
            <w:shd w:fill="FFFFFF" w:val="clear"/>
            <w:tcMar>
              <w:top w:type="dxa" w:w="60"/>
              <w:left w:type="dxa" w:w="100"/>
              <w:bottom w:type="dxa" w:w="60"/>
              <w:right w:type="dxa" w:w="100"/>
            </w:tcMar>
            <w:vAlign w:val="center"/>
          </w:tcPr>
          <w:p>
            <w:r>
              <w:rPr>
                <w:b w:val="false"/>
                <w:bCs w:val="false"/>
                <w:sz w:val="19"/>
                <w:szCs w:val="19"/>
              </w:rPr>
              <w:t xml:space="preserve">0.501</w:t>
            </w:r>
          </w:p>
        </w:tc>
        <w:tc>
          <w:tcPr>
            <w:tcW w:type="dxa" w:w="900"/>
            <w:shd w:fill="FFFFFF" w:val="clear"/>
            <w:tcMar>
              <w:top w:type="dxa" w:w="60"/>
              <w:left w:type="dxa" w:w="100"/>
              <w:bottom w:type="dxa" w:w="60"/>
              <w:right w:type="dxa" w:w="100"/>
            </w:tcMar>
            <w:vAlign w:val="center"/>
          </w:tcPr>
          <w:p>
            <w:r>
              <w:rPr>
                <w:b w:val="false"/>
                <w:bCs w:val="false"/>
                <w:sz w:val="19"/>
                <w:szCs w:val="19"/>
              </w:rPr>
              <w:t xml:space="preserve">0.614</w:t>
            </w:r>
          </w:p>
        </w:tc>
        <w:tc>
          <w:tcPr>
            <w:tcW w:type="dxa" w:w="1000"/>
            <w:shd w:fill="FFFFFF" w:val="clear"/>
            <w:tcMar>
              <w:top w:type="dxa" w:w="60"/>
              <w:left w:type="dxa" w:w="100"/>
              <w:bottom w:type="dxa" w:w="60"/>
              <w:right w:type="dxa" w:w="100"/>
            </w:tcMar>
            <w:vAlign w:val="center"/>
          </w:tcPr>
          <w:p>
            <w:r>
              <w:rPr>
                <w:b w:val="false"/>
                <w:bCs w:val="false"/>
                <w:sz w:val="19"/>
                <w:szCs w:val="19"/>
              </w:rPr>
              <w:t xml:space="preserve">0.870</w:t>
            </w:r>
          </w:p>
        </w:tc>
        <w:tc>
          <w:tcPr>
            <w:tcW w:type="dxa" w:w="2500"/>
            <w:shd w:fill="FFFFFF" w:val="clear"/>
            <w:tcMar>
              <w:top w:type="dxa" w:w="60"/>
              <w:left w:type="dxa" w:w="100"/>
              <w:bottom w:type="dxa" w:w="60"/>
              <w:right w:type="dxa" w:w="100"/>
            </w:tcMar>
            <w:vAlign w:val="center"/>
          </w:tcPr>
          <w:p>
            <w:r>
              <w:rPr>
                <w:b w:val="false"/>
                <w:bCs w:val="false"/>
                <w:sz w:val="19"/>
                <w:szCs w:val="19"/>
              </w:rPr>
              <w:t xml:space="preserve">0.864 ± 0.009</w:t>
            </w:r>
          </w:p>
        </w:tc>
      </w:tr>
      <w:tr>
        <w:tc>
          <w:tcPr>
            <w:tcW w:type="dxa" w:w="1800"/>
            <w:shd w:fill="EDF1F5" w:val="clear"/>
            <w:tcMar>
              <w:top w:type="dxa" w:w="60"/>
              <w:left w:type="dxa" w:w="100"/>
              <w:bottom w:type="dxa" w:w="60"/>
              <w:right w:type="dxa" w:w="100"/>
            </w:tcMar>
            <w:vAlign w:val="center"/>
          </w:tcPr>
          <w:p>
            <w:r>
              <w:rPr>
                <w:b/>
                <w:bCs/>
                <w:sz w:val="19"/>
                <w:szCs w:val="19"/>
              </w:rPr>
              <w:t xml:space="preserve">Random Forest</w:t>
            </w:r>
          </w:p>
        </w:tc>
        <w:tc>
          <w:tcPr>
            <w:tcW w:type="dxa" w:w="1080"/>
            <w:shd w:fill="EDF1F5" w:val="clear"/>
            <w:tcMar>
              <w:top w:type="dxa" w:w="60"/>
              <w:left w:type="dxa" w:w="100"/>
              <w:bottom w:type="dxa" w:w="60"/>
              <w:right w:type="dxa" w:w="100"/>
            </w:tcMar>
            <w:vAlign w:val="center"/>
          </w:tcPr>
          <w:p>
            <w:r>
              <w:rPr>
                <w:b w:val="false"/>
                <w:bCs w:val="false"/>
                <w:sz w:val="19"/>
                <w:szCs w:val="19"/>
              </w:rPr>
              <w:t xml:space="preserve">0.834</w:t>
            </w:r>
          </w:p>
        </w:tc>
        <w:tc>
          <w:tcPr>
            <w:tcW w:type="dxa" w:w="1080"/>
            <w:shd w:fill="EDF1F5" w:val="clear"/>
            <w:tcMar>
              <w:top w:type="dxa" w:w="60"/>
              <w:left w:type="dxa" w:w="100"/>
              <w:bottom w:type="dxa" w:w="60"/>
              <w:right w:type="dxa" w:w="100"/>
            </w:tcMar>
            <w:vAlign w:val="center"/>
          </w:tcPr>
          <w:p>
            <w:r>
              <w:rPr>
                <w:b w:val="false"/>
                <w:bCs w:val="false"/>
                <w:sz w:val="19"/>
                <w:szCs w:val="19"/>
              </w:rPr>
              <w:t xml:space="preserve">0.576</w:t>
            </w:r>
          </w:p>
        </w:tc>
        <w:tc>
          <w:tcPr>
            <w:tcW w:type="dxa" w:w="1000"/>
            <w:shd w:fill="EDF1F5" w:val="clear"/>
            <w:tcMar>
              <w:top w:type="dxa" w:w="60"/>
              <w:left w:type="dxa" w:w="100"/>
              <w:bottom w:type="dxa" w:w="60"/>
              <w:right w:type="dxa" w:w="100"/>
            </w:tcMar>
            <w:vAlign w:val="center"/>
          </w:tcPr>
          <w:p>
            <w:r>
              <w:rPr>
                <w:b w:val="false"/>
                <w:bCs w:val="false"/>
                <w:sz w:val="19"/>
                <w:szCs w:val="19"/>
              </w:rPr>
              <w:t xml:space="preserve">0.688</w:t>
            </w:r>
          </w:p>
        </w:tc>
        <w:tc>
          <w:tcPr>
            <w:tcW w:type="dxa" w:w="900"/>
            <w:shd w:fill="EDF1F5" w:val="clear"/>
            <w:tcMar>
              <w:top w:type="dxa" w:w="60"/>
              <w:left w:type="dxa" w:w="100"/>
              <w:bottom w:type="dxa" w:w="60"/>
              <w:right w:type="dxa" w:w="100"/>
            </w:tcMar>
            <w:vAlign w:val="center"/>
          </w:tcPr>
          <w:p>
            <w:r>
              <w:rPr>
                <w:b w:val="false"/>
                <w:bCs w:val="false"/>
                <w:sz w:val="19"/>
                <w:szCs w:val="19"/>
              </w:rPr>
              <w:t xml:space="preserve">0.627</w:t>
            </w:r>
          </w:p>
        </w:tc>
        <w:tc>
          <w:tcPr>
            <w:tcW w:type="dxa" w:w="1000"/>
            <w:shd w:fill="EDF1F5" w:val="clear"/>
            <w:tcMar>
              <w:top w:type="dxa" w:w="60"/>
              <w:left w:type="dxa" w:w="100"/>
              <w:bottom w:type="dxa" w:w="60"/>
              <w:right w:type="dxa" w:w="100"/>
            </w:tcMar>
            <w:vAlign w:val="center"/>
          </w:tcPr>
          <w:p>
            <w:r>
              <w:rPr>
                <w:b w:val="false"/>
                <w:bCs w:val="false"/>
                <w:sz w:val="19"/>
                <w:szCs w:val="19"/>
              </w:rPr>
              <w:t xml:space="preserve">0.866</w:t>
            </w:r>
          </w:p>
        </w:tc>
        <w:tc>
          <w:tcPr>
            <w:tcW w:type="dxa" w:w="2500"/>
            <w:shd w:fill="EDF1F5" w:val="clear"/>
            <w:tcMar>
              <w:top w:type="dxa" w:w="60"/>
              <w:left w:type="dxa" w:w="100"/>
              <w:bottom w:type="dxa" w:w="60"/>
              <w:right w:type="dxa" w:w="100"/>
            </w:tcMar>
            <w:vAlign w:val="center"/>
          </w:tcPr>
          <w:p>
            <w:r>
              <w:rPr>
                <w:b w:val="false"/>
                <w:bCs w:val="false"/>
                <w:sz w:val="19"/>
                <w:szCs w:val="19"/>
              </w:rPr>
              <w:t xml:space="preserve">0.858 ± 0.012</w:t>
            </w:r>
          </w:p>
        </w:tc>
      </w:tr>
      <w:tr>
        <w:tc>
          <w:tcPr>
            <w:tcW w:type="dxa" w:w="1800"/>
            <w:shd w:fill="FFFFFF" w:val="clear"/>
            <w:tcMar>
              <w:top w:type="dxa" w:w="60"/>
              <w:left w:type="dxa" w:w="100"/>
              <w:bottom w:type="dxa" w:w="60"/>
              <w:right w:type="dxa" w:w="100"/>
            </w:tcMar>
            <w:vAlign w:val="center"/>
          </w:tcPr>
          <w:p>
            <w:r>
              <w:rPr>
                <w:b/>
                <w:bCs/>
                <w:sz w:val="19"/>
                <w:szCs w:val="19"/>
              </w:rPr>
              <w:t xml:space="preserve">XGBoost</w:t>
            </w:r>
          </w:p>
        </w:tc>
        <w:tc>
          <w:tcPr>
            <w:tcW w:type="dxa" w:w="1080"/>
            <w:shd w:fill="FFFFFF" w:val="clear"/>
            <w:tcMar>
              <w:top w:type="dxa" w:w="60"/>
              <w:left w:type="dxa" w:w="100"/>
              <w:bottom w:type="dxa" w:w="60"/>
              <w:right w:type="dxa" w:w="100"/>
            </w:tcMar>
            <w:vAlign w:val="center"/>
          </w:tcPr>
          <w:p>
            <w:r>
              <w:rPr>
                <w:b w:val="false"/>
                <w:bCs w:val="false"/>
                <w:sz w:val="19"/>
                <w:szCs w:val="19"/>
              </w:rPr>
              <w:t xml:space="preserve">0.801</w:t>
            </w:r>
          </w:p>
        </w:tc>
        <w:tc>
          <w:tcPr>
            <w:tcW w:type="dxa" w:w="1080"/>
            <w:shd w:fill="FFFFFF" w:val="clear"/>
            <w:tcMar>
              <w:top w:type="dxa" w:w="60"/>
              <w:left w:type="dxa" w:w="100"/>
              <w:bottom w:type="dxa" w:w="60"/>
              <w:right w:type="dxa" w:w="100"/>
            </w:tcMar>
            <w:vAlign w:val="center"/>
          </w:tcPr>
          <w:p>
            <w:r>
              <w:rPr>
                <w:b w:val="false"/>
                <w:bCs w:val="false"/>
                <w:sz w:val="19"/>
                <w:szCs w:val="19"/>
              </w:rPr>
              <w:t xml:space="preserve">0.507</w:t>
            </w:r>
          </w:p>
        </w:tc>
        <w:tc>
          <w:tcPr>
            <w:tcW w:type="dxa" w:w="1000"/>
            <w:shd w:fill="FFFFFF" w:val="clear"/>
            <w:tcMar>
              <w:top w:type="dxa" w:w="60"/>
              <w:left w:type="dxa" w:w="100"/>
              <w:bottom w:type="dxa" w:w="60"/>
              <w:right w:type="dxa" w:w="100"/>
            </w:tcMar>
            <w:vAlign w:val="center"/>
          </w:tcPr>
          <w:p>
            <w:r>
              <w:rPr>
                <w:b w:val="false"/>
                <w:bCs w:val="false"/>
                <w:sz w:val="19"/>
                <w:szCs w:val="19"/>
              </w:rPr>
              <w:t xml:space="preserve">0.722</w:t>
            </w:r>
          </w:p>
        </w:tc>
        <w:tc>
          <w:tcPr>
            <w:tcW w:type="dxa" w:w="900"/>
            <w:shd w:fill="FFFFFF" w:val="clear"/>
            <w:tcMar>
              <w:top w:type="dxa" w:w="60"/>
              <w:left w:type="dxa" w:w="100"/>
              <w:bottom w:type="dxa" w:w="60"/>
              <w:right w:type="dxa" w:w="100"/>
            </w:tcMar>
            <w:vAlign w:val="center"/>
          </w:tcPr>
          <w:p>
            <w:r>
              <w:rPr>
                <w:b w:val="false"/>
                <w:bCs w:val="false"/>
                <w:sz w:val="19"/>
                <w:szCs w:val="19"/>
              </w:rPr>
              <w:t xml:space="preserve">0.596</w:t>
            </w:r>
          </w:p>
        </w:tc>
        <w:tc>
          <w:tcPr>
            <w:tcW w:type="dxa" w:w="1000"/>
            <w:shd w:fill="FFFFFF" w:val="clear"/>
            <w:tcMar>
              <w:top w:type="dxa" w:w="60"/>
              <w:left w:type="dxa" w:w="100"/>
              <w:bottom w:type="dxa" w:w="60"/>
              <w:right w:type="dxa" w:w="100"/>
            </w:tcMar>
            <w:vAlign w:val="center"/>
          </w:tcPr>
          <w:p>
            <w:r>
              <w:rPr>
                <w:b w:val="false"/>
                <w:bCs w:val="false"/>
                <w:sz w:val="19"/>
                <w:szCs w:val="19"/>
              </w:rPr>
              <w:t xml:space="preserve">0.862</w:t>
            </w:r>
          </w:p>
        </w:tc>
        <w:tc>
          <w:tcPr>
            <w:tcW w:type="dxa" w:w="2500"/>
            <w:shd w:fill="FFFFFF" w:val="clear"/>
            <w:tcMar>
              <w:top w:type="dxa" w:w="60"/>
              <w:left w:type="dxa" w:w="100"/>
              <w:bottom w:type="dxa" w:w="60"/>
              <w:right w:type="dxa" w:w="100"/>
            </w:tcMar>
            <w:vAlign w:val="center"/>
          </w:tcPr>
          <w:p>
            <w:r>
              <w:rPr>
                <w:b w:val="false"/>
                <w:bCs w:val="false"/>
                <w:sz w:val="19"/>
                <w:szCs w:val="19"/>
              </w:rPr>
              <w:t xml:space="preserve">0.859 ± 0.012</w:t>
            </w:r>
          </w:p>
        </w:tc>
      </w:tr>
      <w:tr>
        <w:tc>
          <w:tcPr>
            <w:tcW w:type="dxa" w:w="1800"/>
            <w:shd w:fill="EDF1F5" w:val="clear"/>
            <w:tcMar>
              <w:top w:type="dxa" w:w="60"/>
              <w:left w:type="dxa" w:w="100"/>
              <w:bottom w:type="dxa" w:w="60"/>
              <w:right w:type="dxa" w:w="100"/>
            </w:tcMar>
            <w:vAlign w:val="center"/>
          </w:tcPr>
          <w:p>
            <w:r>
              <w:rPr>
                <w:b/>
                <w:bCs/>
                <w:sz w:val="19"/>
                <w:szCs w:val="19"/>
              </w:rPr>
              <w:t xml:space="preserve">Decision Tree</w:t>
            </w:r>
          </w:p>
        </w:tc>
        <w:tc>
          <w:tcPr>
            <w:tcW w:type="dxa" w:w="1080"/>
            <w:shd w:fill="EDF1F5" w:val="clear"/>
            <w:tcMar>
              <w:top w:type="dxa" w:w="60"/>
              <w:left w:type="dxa" w:w="100"/>
              <w:bottom w:type="dxa" w:w="60"/>
              <w:right w:type="dxa" w:w="100"/>
            </w:tcMar>
            <w:vAlign w:val="center"/>
          </w:tcPr>
          <w:p>
            <w:r>
              <w:rPr>
                <w:b w:val="false"/>
                <w:bCs w:val="false"/>
                <w:sz w:val="19"/>
                <w:szCs w:val="19"/>
              </w:rPr>
              <w:t xml:space="preserve">0.762</w:t>
            </w:r>
          </w:p>
        </w:tc>
        <w:tc>
          <w:tcPr>
            <w:tcW w:type="dxa" w:w="1080"/>
            <w:shd w:fill="EDF1F5" w:val="clear"/>
            <w:tcMar>
              <w:top w:type="dxa" w:w="60"/>
              <w:left w:type="dxa" w:w="100"/>
              <w:bottom w:type="dxa" w:w="60"/>
              <w:right w:type="dxa" w:w="100"/>
            </w:tcMar>
            <w:vAlign w:val="center"/>
          </w:tcPr>
          <w:p>
            <w:r>
              <w:rPr>
                <w:b w:val="false"/>
                <w:bCs w:val="false"/>
                <w:sz w:val="19"/>
                <w:szCs w:val="19"/>
              </w:rPr>
              <w:t xml:space="preserve">0.451</w:t>
            </w:r>
          </w:p>
        </w:tc>
        <w:tc>
          <w:tcPr>
            <w:tcW w:type="dxa" w:w="1000"/>
            <w:shd w:fill="EDF1F5" w:val="clear"/>
            <w:tcMar>
              <w:top w:type="dxa" w:w="60"/>
              <w:left w:type="dxa" w:w="100"/>
              <w:bottom w:type="dxa" w:w="60"/>
              <w:right w:type="dxa" w:w="100"/>
            </w:tcMar>
            <w:vAlign w:val="center"/>
          </w:tcPr>
          <w:p>
            <w:r>
              <w:rPr>
                <w:b w:val="false"/>
                <w:bCs w:val="false"/>
                <w:sz w:val="19"/>
                <w:szCs w:val="19"/>
              </w:rPr>
              <w:t xml:space="preserve">0.786</w:t>
            </w:r>
          </w:p>
        </w:tc>
        <w:tc>
          <w:tcPr>
            <w:tcW w:type="dxa" w:w="900"/>
            <w:shd w:fill="EDF1F5" w:val="clear"/>
            <w:tcMar>
              <w:top w:type="dxa" w:w="60"/>
              <w:left w:type="dxa" w:w="100"/>
              <w:bottom w:type="dxa" w:w="60"/>
              <w:right w:type="dxa" w:w="100"/>
            </w:tcMar>
            <w:vAlign w:val="center"/>
          </w:tcPr>
          <w:p>
            <w:r>
              <w:rPr>
                <w:b w:val="false"/>
                <w:bCs w:val="false"/>
                <w:sz w:val="19"/>
                <w:szCs w:val="19"/>
              </w:rPr>
              <w:t xml:space="preserve">0.573</w:t>
            </w:r>
          </w:p>
        </w:tc>
        <w:tc>
          <w:tcPr>
            <w:tcW w:type="dxa" w:w="1000"/>
            <w:shd w:fill="EDF1F5" w:val="clear"/>
            <w:tcMar>
              <w:top w:type="dxa" w:w="60"/>
              <w:left w:type="dxa" w:w="100"/>
              <w:bottom w:type="dxa" w:w="60"/>
              <w:right w:type="dxa" w:w="100"/>
            </w:tcMar>
            <w:vAlign w:val="center"/>
          </w:tcPr>
          <w:p>
            <w:r>
              <w:rPr>
                <w:b w:val="false"/>
                <w:bCs w:val="false"/>
                <w:sz w:val="19"/>
                <w:szCs w:val="19"/>
              </w:rPr>
              <w:t xml:space="preserve">0.841</w:t>
            </w:r>
          </w:p>
        </w:tc>
        <w:tc>
          <w:tcPr>
            <w:tcW w:type="dxa" w:w="2500"/>
            <w:shd w:fill="EDF1F5" w:val="clear"/>
            <w:tcMar>
              <w:top w:type="dxa" w:w="60"/>
              <w:left w:type="dxa" w:w="100"/>
              <w:bottom w:type="dxa" w:w="60"/>
              <w:right w:type="dxa" w:w="100"/>
            </w:tcMar>
            <w:vAlign w:val="center"/>
          </w:tcPr>
          <w:p>
            <w:r>
              <w:rPr>
                <w:b w:val="false"/>
                <w:bCs w:val="false"/>
                <w:sz w:val="19"/>
                <w:szCs w:val="19"/>
              </w:rPr>
              <w:t xml:space="preserve">0.832 ± 0.008</w:t>
            </w:r>
          </w:p>
        </w:tc>
      </w:tr>
      <w:tr>
        <w:tc>
          <w:tcPr>
            <w:tcW w:type="dxa" w:w="1800"/>
            <w:shd w:fill="FFFFFF" w:val="clear"/>
            <w:tcMar>
              <w:top w:type="dxa" w:w="60"/>
              <w:left w:type="dxa" w:w="100"/>
              <w:bottom w:type="dxa" w:w="60"/>
              <w:right w:type="dxa" w:w="100"/>
            </w:tcMar>
            <w:vAlign w:val="center"/>
          </w:tcPr>
          <w:p>
            <w:r>
              <w:rPr>
                <w:b/>
                <w:bCs/>
                <w:sz w:val="19"/>
                <w:szCs w:val="19"/>
              </w:rPr>
              <w:t xml:space="preserve">Logistic Regression</w:t>
            </w:r>
          </w:p>
        </w:tc>
        <w:tc>
          <w:tcPr>
            <w:tcW w:type="dxa" w:w="1080"/>
            <w:shd w:fill="FFFFFF" w:val="clear"/>
            <w:tcMar>
              <w:top w:type="dxa" w:w="60"/>
              <w:left w:type="dxa" w:w="100"/>
              <w:bottom w:type="dxa" w:w="60"/>
              <w:right w:type="dxa" w:w="100"/>
            </w:tcMar>
            <w:vAlign w:val="center"/>
          </w:tcPr>
          <w:p>
            <w:r>
              <w:rPr>
                <w:b w:val="false"/>
                <w:bCs w:val="false"/>
                <w:sz w:val="19"/>
                <w:szCs w:val="19"/>
              </w:rPr>
              <w:t xml:space="preserve">0.713</w:t>
            </w:r>
          </w:p>
        </w:tc>
        <w:tc>
          <w:tcPr>
            <w:tcW w:type="dxa" w:w="1080"/>
            <w:shd w:fill="FFFFFF" w:val="clear"/>
            <w:tcMar>
              <w:top w:type="dxa" w:w="60"/>
              <w:left w:type="dxa" w:w="100"/>
              <w:bottom w:type="dxa" w:w="60"/>
              <w:right w:type="dxa" w:w="100"/>
            </w:tcMar>
            <w:vAlign w:val="center"/>
          </w:tcPr>
          <w:p>
            <w:r>
              <w:rPr>
                <w:b w:val="false"/>
                <w:bCs w:val="false"/>
                <w:sz w:val="19"/>
                <w:szCs w:val="19"/>
              </w:rPr>
              <w:t xml:space="preserve">0.387</w:t>
            </w:r>
          </w:p>
        </w:tc>
        <w:tc>
          <w:tcPr>
            <w:tcW w:type="dxa" w:w="1000"/>
            <w:shd w:fill="FFFFFF" w:val="clear"/>
            <w:tcMar>
              <w:top w:type="dxa" w:w="60"/>
              <w:left w:type="dxa" w:w="100"/>
              <w:bottom w:type="dxa" w:w="60"/>
              <w:right w:type="dxa" w:w="100"/>
            </w:tcMar>
            <w:vAlign w:val="center"/>
          </w:tcPr>
          <w:p>
            <w:r>
              <w:rPr>
                <w:b w:val="false"/>
                <w:bCs w:val="false"/>
                <w:sz w:val="19"/>
                <w:szCs w:val="19"/>
              </w:rPr>
              <w:t xml:space="preserve">0.705</w:t>
            </w:r>
          </w:p>
        </w:tc>
        <w:tc>
          <w:tcPr>
            <w:tcW w:type="dxa" w:w="900"/>
            <w:shd w:fill="FFFFFF" w:val="clear"/>
            <w:tcMar>
              <w:top w:type="dxa" w:w="60"/>
              <w:left w:type="dxa" w:w="100"/>
              <w:bottom w:type="dxa" w:w="60"/>
              <w:right w:type="dxa" w:w="100"/>
            </w:tcMar>
            <w:vAlign w:val="center"/>
          </w:tcPr>
          <w:p>
            <w:r>
              <w:rPr>
                <w:b w:val="false"/>
                <w:bCs w:val="false"/>
                <w:sz w:val="19"/>
                <w:szCs w:val="19"/>
              </w:rPr>
              <w:t xml:space="preserve">0.500</w:t>
            </w:r>
          </w:p>
        </w:tc>
        <w:tc>
          <w:tcPr>
            <w:tcW w:type="dxa" w:w="1000"/>
            <w:shd w:fill="FFFFFF" w:val="clear"/>
            <w:tcMar>
              <w:top w:type="dxa" w:w="60"/>
              <w:left w:type="dxa" w:w="100"/>
              <w:bottom w:type="dxa" w:w="60"/>
              <w:right w:type="dxa" w:w="100"/>
            </w:tcMar>
            <w:vAlign w:val="center"/>
          </w:tcPr>
          <w:p>
            <w:r>
              <w:rPr>
                <w:b w:val="false"/>
                <w:bCs w:val="false"/>
                <w:sz w:val="19"/>
                <w:szCs w:val="19"/>
              </w:rPr>
              <w:t xml:space="preserve">0.776</w:t>
            </w:r>
          </w:p>
        </w:tc>
        <w:tc>
          <w:tcPr>
            <w:tcW w:type="dxa" w:w="2500"/>
            <w:shd w:fill="FFFFFF" w:val="clear"/>
            <w:tcMar>
              <w:top w:type="dxa" w:w="60"/>
              <w:left w:type="dxa" w:w="100"/>
              <w:bottom w:type="dxa" w:w="60"/>
              <w:right w:type="dxa" w:w="100"/>
            </w:tcMar>
            <w:vAlign w:val="center"/>
          </w:tcPr>
          <w:p>
            <w:r>
              <w:rPr>
                <w:b w:val="false"/>
                <w:bCs w:val="false"/>
                <w:sz w:val="19"/>
                <w:szCs w:val="19"/>
              </w:rPr>
              <w:t xml:space="preserve">0.766 ± 0.021</w:t>
            </w:r>
          </w:p>
        </w:tc>
      </w:tr>
    </w:tbl>
    <w:p>
      <w:pPr>
        <w:spacing w:after="200" w:before="40"/>
      </w:pPr>
      <w:r>
        <w:rPr>
          <w:i/>
          <w:iCs/>
          <w:color w:val="595959"/>
          <w:sz w:val="18"/>
          <w:szCs w:val="18"/>
        </w:rPr>
        <w:t xml:space="preserve">Table 9. Model comparison on the held-out test set (champion model in bold row)</w:t>
      </w:r>
    </w:p>
    <w:p>
      <w:pPr>
        <w:spacing w:after="160" w:line="300"/>
      </w:pPr>
      <w:r>
        <w:rPr>
          <w:sz w:val="21"/>
          <w:szCs w:val="21"/>
        </w:rPr>
        <w:t xml:space="preserve">(Exact figures are regenerated on every run of src/train_models.py and written to outputs/reports/model_metrics.csv. XGBoost's macOS wheel needs the libomp OpenMP runtime; since this machine has no Homebrew, a project-local copy is vendored at .venv/lib/openmp/libomp.dylib and wired in automatically by src/openmp_bootstrap.py — see the project README.)</w:t>
      </w:r>
    </w:p>
    <w:p>
      <w:pPr>
        <w:spacing w:after="160" w:line="300"/>
      </w:pPr>
      <w:r>
        <w:rPr>
          <w:sz w:val="21"/>
          <w:szCs w:val="21"/>
        </w:rPr>
        <w:t xml:space="preserve">Gradient Boosting was selected as the champion model on ROC-AUC — the primary metric for a ranking/scoring use case where the bank wants to prioritize a fixed retention budget across customers, not just draw a single yes/no line. Its cross-validated score (0.864) is close to its test score (0.870), indicating low variance and good generalization. XGBoost, run with untuned default-scale hyperparameters, was competitive (0.862 ROC-AUC, highest recall of any model at 72.2%) but did not surpass Gradient Boosting; a dedicated hyperparameter search could plausibly close or reverse that gap and would be a natural next iteration.</w:t>
      </w:r>
    </w:p>
    <w:p>
      <w:pPr>
        <w:spacing w:after="160" w:line="300"/>
      </w:pPr>
      <w:r>
        <w:rPr>
          <w:sz w:val="21"/>
          <w:szCs w:val="21"/>
        </w:rPr>
        <w:t xml:space="preserve">Random Forest and XGBoost are both strong secondary candidates with higher recall (68.8% and 72.2% vs. 50.1%), meaning they catch more true churners at the cost of more false alarms (lower precision: 57.6% and 50.7% vs. 79.4%). </w:t>
      </w:r>
      <w:r>
        <w:rPr>
          <w:b/>
          <w:bCs/>
          <w:sz w:val="21"/>
          <w:szCs w:val="21"/>
        </w:rPr>
        <w:t xml:space="preserve">This is a business-tunable trade-off</w:t>
      </w:r>
      <w:r>
        <w:rPr>
          <w:sz w:val="21"/>
          <w:szCs w:val="21"/>
        </w:rPr>
        <w:t xml:space="preserve">: the Streamlit app's adjustable classification threshold lets the bank move along this curve — lower the threshold to prioritize recall (cast a wider net, appropriate for low-cost interventions like an email) or keep it high to prioritize precision (appropriate for high-cost interventions like a relationship-manager call).</w:t>
      </w:r>
    </w:p>
    <w:p>
      <w:pPr>
        <w:pStyle w:val="Heading1"/>
        <w:pBdr>
          <w:bottom w:val="single" w:color="1F3B57" w:sz="6" w:space="4"/>
        </w:pBdr>
        <w:spacing w:after="160" w:before="360"/>
      </w:pPr>
      <w:r>
        <w:rPr>
          <w:b/>
          <w:bCs/>
          <w:color w:val="1F3B57"/>
          <w:sz w:val="28"/>
          <w:szCs w:val="28"/>
        </w:rPr>
        <w:t xml:space="preserve">7. Model Explainability</w:t>
      </w:r>
    </w:p>
    <w:p>
      <w:pPr>
        <w:pStyle w:val="Heading2"/>
        <w:spacing w:after="120" w:before="260"/>
      </w:pPr>
      <w:r>
        <w:rPr>
          <w:b/>
          <w:bCs/>
          <w:color w:val="1F3B57"/>
          <w:sz w:val="24"/>
          <w:szCs w:val="24"/>
        </w:rPr>
        <w:t xml:space="preserve">7.1 Feature Importance (Gradient Boosting, native importances)</w:t>
      </w:r>
    </w:p>
    <w:p>
      <w:pPr>
        <w:spacing w:after="160" w:line="300"/>
      </w:pPr>
      <w:r>
        <w:rPr>
          <w:sz w:val="21"/>
          <w:szCs w:val="21"/>
        </w:rPr>
        <w:t xml:space="preserve">Top drivers by the model's own importance ranking: Age, NumOfProducts, EngagementProductScore, Balance, IsActiveMember, Geography (Germany).</w:t>
      </w:r>
    </w:p>
    <w:p>
      <w:pPr>
        <w:pStyle w:val="Heading2"/>
        <w:spacing w:after="120" w:before="260"/>
      </w:pPr>
      <w:r>
        <w:rPr>
          <w:b/>
          <w:bCs/>
          <w:color w:val="1F3B57"/>
          <w:sz w:val="24"/>
          <w:szCs w:val="24"/>
        </w:rPr>
        <w:t xml:space="preserve">7.2 SHAP Analysis</w:t>
      </w:r>
    </w:p>
    <w:p>
      <w:pPr>
        <w:spacing w:after="160" w:line="300"/>
      </w:pPr>
      <w:r>
        <w:rPr>
          <w:sz w:val="21"/>
          <w:szCs w:val="21"/>
        </w:rPr>
        <w:t xml:space="preserve">SHAP (SHapley Additive exPlanations) values, which measure each feature's actual contribution to individual predictions rather than aggregate splits, rank NumOfProducts and Age as the two dominant drivers, followed by Geography (Germany), Gender (Male), EngagementProductScore, and IsActiveMember. This corroborates the EDA: churn is overwhelmingly a function of product fit and life-stage, modulated by engagement and market, and only weakly by static demographic or financial attributes like credit score or salary.</w:t>
      </w:r>
    </w:p>
    <w:p>
      <w:pPr>
        <w:spacing w:after="160" w:line="300"/>
      </w:pPr>
      <w:r>
        <w:rPr>
          <w:sz w:val="21"/>
          <w:szCs w:val="21"/>
        </w:rPr>
        <w:t xml:space="preserve">SHAP summary plots, per-feature importance bar charts, and partial dependence plots for the top continuous drivers (Age, NumOfProducts, Balance, EngagementProductScore) are generated by src/explainability.py and saved to outputs/figures/ for inclusion in stakeholder decks.</w:t>
      </w:r>
    </w:p>
    <w:p>
      <w:pPr>
        <w:pStyle w:val="Heading2"/>
        <w:spacing w:after="120" w:before="260"/>
      </w:pPr>
      <w:r>
        <w:rPr>
          <w:b/>
          <w:bCs/>
          <w:color w:val="1F3B57"/>
          <w:sz w:val="24"/>
          <w:szCs w:val="24"/>
        </w:rPr>
        <w:t xml:space="preserve">7.3 Why This Matters for Compliance</w:t>
      </w:r>
    </w:p>
    <w:p>
      <w:pPr>
        <w:spacing w:after="160" w:line="300"/>
      </w:pPr>
      <w:r>
        <w:rPr>
          <w:sz w:val="21"/>
          <w:szCs w:val="21"/>
        </w:rPr>
        <w:t xml:space="preserve">Because the deployed pipeline exposes both global (SHAP summary, feature importance) and local (per-customer SHAP contribution, available in the Streamlit app's risk calculator) explanations, retention staff and regulators can see why a specific customer was flagged — not just that they were flagged — satisfying the explainability requirement referenced in the project brief.</w:t>
      </w:r>
    </w:p>
    <w:p>
      <w:pPr>
        <w:pStyle w:val="Heading1"/>
        <w:pBdr>
          <w:bottom w:val="single" w:color="1F3B57" w:sz="6" w:space="4"/>
        </w:pBdr>
        <w:spacing w:after="160" w:before="360"/>
      </w:pPr>
      <w:r>
        <w:rPr>
          <w:b/>
          <w:bCs/>
          <w:color w:val="1F3B57"/>
          <w:sz w:val="28"/>
          <w:szCs w:val="28"/>
        </w:rPr>
        <w:t xml:space="preserve">8. Business Insights and Recommendations</w:t>
      </w:r>
    </w:p>
    <w:p>
      <w:pPr>
        <w:pStyle w:val="ListParagraph"/>
        <w:numPr>
          <w:ilvl w:val="0"/>
          <w:numId w:val="2"/>
        </w:numPr>
        <w:spacing w:after="120" w:line="290"/>
      </w:pPr>
      <w:r>
        <w:rPr>
          <w:b/>
          <w:bCs/>
          <w:sz w:val="21"/>
          <w:szCs w:val="21"/>
        </w:rPr>
        <w:t xml:space="preserve">Stop over-selling past two products. </w:t>
      </w:r>
      <w:r>
        <w:rPr>
          <w:sz w:val="21"/>
          <w:szCs w:val="21"/>
        </w:rPr>
        <w:t xml:space="preserve">The jump from 7.6% churn at two products to 82.7% at three is the single highest-leverage finding in this analysis. Cross-sell campaigns should stop actively pushing customers who already hold two products into a third unless there is a clear, validated need — the current pattern looks like it is causing churn, not preventing it.</w:t>
      </w:r>
    </w:p>
    <w:p>
      <w:pPr>
        <w:pStyle w:val="ListParagraph"/>
        <w:numPr>
          <w:ilvl w:val="0"/>
          <w:numId w:val="2"/>
        </w:numPr>
        <w:spacing w:after="120" w:line="290"/>
      </w:pPr>
      <w:r>
        <w:rPr>
          <w:b/>
          <w:bCs/>
          <w:sz w:val="21"/>
          <w:szCs w:val="21"/>
        </w:rPr>
        <w:t xml:space="preserve">Prioritize Germany for a service/competitiveness review. </w:t>
      </w:r>
      <w:r>
        <w:rPr>
          <w:sz w:val="21"/>
          <w:szCs w:val="21"/>
        </w:rPr>
        <w:t xml:space="preserve">A churn rate double that of France and Spain, on the same product set, points to a market-specific gap (pricing, service quality, local competition) rather than a customer-mix effect.</w:t>
      </w:r>
    </w:p>
    <w:p>
      <w:pPr>
        <w:pStyle w:val="ListParagraph"/>
        <w:numPr>
          <w:ilvl w:val="0"/>
          <w:numId w:val="2"/>
        </w:numPr>
        <w:spacing w:after="120" w:line="290"/>
      </w:pPr>
      <w:r>
        <w:rPr>
          <w:b/>
          <w:bCs/>
          <w:sz w:val="21"/>
          <w:szCs w:val="21"/>
        </w:rPr>
        <w:t xml:space="preserve">Engagement campaigns are the second-highest-leverage lever. </w:t>
      </w:r>
      <w:r>
        <w:rPr>
          <w:sz w:val="21"/>
          <w:szCs w:val="21"/>
        </w:rPr>
        <w:t xml:space="preserve">Inactive members churn at ~2x the rate of active ones. Reactivation nudges (app engagement prompts, statement reviews, annual check-ins) are a lower-cost intervention than product-based retention offers.</w:t>
      </w:r>
    </w:p>
    <w:p>
      <w:pPr>
        <w:pStyle w:val="ListParagraph"/>
        <w:numPr>
          <w:ilvl w:val="0"/>
          <w:numId w:val="2"/>
        </w:numPr>
        <w:spacing w:after="120" w:line="290"/>
      </w:pPr>
      <w:r>
        <w:rPr>
          <w:b/>
          <w:bCs/>
          <w:sz w:val="21"/>
          <w:szCs w:val="21"/>
        </w:rPr>
        <w:t xml:space="preserve">Target the 41–60 age band, especially 51–60, </w:t>
      </w:r>
      <w:r>
        <w:rPr>
          <w:sz w:val="21"/>
          <w:szCs w:val="21"/>
        </w:rPr>
        <w:t xml:space="preserve">where churn rates exceed 34% and peak at 56%. This is likely tied to life-stage financial decisions (mortgage payoff, pre-retirement consolidation) and warrants tailored retention conversations rather than generic offers.</w:t>
      </w:r>
    </w:p>
    <w:p>
      <w:pPr>
        <w:pStyle w:val="ListParagraph"/>
        <w:numPr>
          <w:ilvl w:val="0"/>
          <w:numId w:val="2"/>
        </w:numPr>
        <w:spacing w:after="200" w:line="290"/>
      </w:pPr>
      <w:r>
        <w:rPr>
          <w:b/>
          <w:bCs/>
          <w:sz w:val="21"/>
          <w:szCs w:val="21"/>
        </w:rPr>
        <w:t xml:space="preserve">Use the risk score to route, not just flag. </w:t>
      </w:r>
      <w:r>
        <w:rPr>
          <w:sz w:val="21"/>
          <w:szCs w:val="21"/>
        </w:rPr>
        <w:t xml:space="preserve">Combine the churn probability with the precision/recall trade-off in Section 6: send low-cost engagement nudges to the broad medium-risk band, and reserve relationship-manager outreach for the high-precision, high-risk tail where the false-positive cost of a phone call is worth it.</w:t>
      </w:r>
    </w:p>
    <w:p>
      <w:pPr>
        <w:pStyle w:val="Heading1"/>
        <w:pBdr>
          <w:bottom w:val="single" w:color="1F3B57" w:sz="6" w:space="4"/>
        </w:pBdr>
        <w:spacing w:after="160" w:before="360"/>
      </w:pPr>
      <w:r>
        <w:rPr>
          <w:b/>
          <w:bCs/>
          <w:color w:val="1F3B57"/>
          <w:sz w:val="28"/>
          <w:szCs w:val="28"/>
        </w:rPr>
        <w:t xml:space="preserve">9. Limitations</w:t>
      </w:r>
    </w:p>
    <w:p>
      <w:pPr>
        <w:pStyle w:val="ListParagraph"/>
        <w:numPr>
          <w:ilvl w:val="0"/>
          <w:numId w:val="1"/>
        </w:numPr>
        <w:spacing w:after="90" w:line="280"/>
      </w:pPr>
      <w:r>
        <w:rPr>
          <w:sz w:val="21"/>
          <w:szCs w:val="21"/>
        </w:rPr>
        <w:t xml:space="preserve">The dataset is a single annual snapshot (Year = 2025); it captures churn correlation, not necessarily causation, and cannot observe within-year trajectory (e.g., declining transaction frequency before churn).</w:t>
      </w:r>
    </w:p>
    <w:p>
      <w:pPr>
        <w:pStyle w:val="ListParagraph"/>
        <w:numPr>
          <w:ilvl w:val="0"/>
          <w:numId w:val="1"/>
        </w:numPr>
        <w:spacing w:after="90" w:line="280"/>
      </w:pPr>
      <w:r>
        <w:rPr>
          <w:sz w:val="21"/>
          <w:szCs w:val="21"/>
        </w:rPr>
        <w:t xml:space="preserve">Class imbalance (20.4% positive) means precision/recall must be read alongside ROC-AUC — accuracy alone would be misleading given a naive "predict retained" baseline already scores ~80%.</w:t>
      </w:r>
    </w:p>
    <w:p>
      <w:pPr>
        <w:pStyle w:val="ListParagraph"/>
        <w:numPr>
          <w:ilvl w:val="0"/>
          <w:numId w:val="1"/>
        </w:numPr>
        <w:spacing w:after="90" w:line="280"/>
      </w:pPr>
      <w:r>
        <w:rPr>
          <w:sz w:val="21"/>
          <w:szCs w:val="21"/>
        </w:rPr>
        <w:t xml:space="preserve">Product count's relationship to churn is almost certainly confounded with how products were sold (proactive cross-sell vs. customer-initiated), which this dataset cannot distinguish; recommendation #1 should be validated with a controlled pilot before being treated as causal.</w:t>
      </w:r>
    </w:p>
    <w:p>
      <w:pPr>
        <w:pStyle w:val="Heading1"/>
        <w:pBdr>
          <w:bottom w:val="single" w:color="1F3B57" w:sz="6" w:space="4"/>
        </w:pBdr>
        <w:spacing w:after="160" w:before="360"/>
      </w:pPr>
      <w:r>
        <w:rPr>
          <w:b/>
          <w:bCs/>
          <w:color w:val="1F3B57"/>
          <w:sz w:val="28"/>
          <w:szCs w:val="28"/>
        </w:rPr>
        <w:t xml:space="preserve">10. Conclusion</w:t>
      </w:r>
    </w:p>
    <w:p>
      <w:pPr>
        <w:spacing w:after="160" w:line="300"/>
      </w:pPr>
      <w:r>
        <w:rPr>
          <w:sz w:val="21"/>
          <w:szCs w:val="21"/>
        </w:rPr>
        <w:t xml:space="preserve">This project reframes bank customer churn away from a purely demographic lens and toward a relationship-strength and product-fit lens: the customers most likely to leave are not defined by who they are, but by how over-sold, disengaged, or life-stage-transitional they are.</w:t>
      </w:r>
    </w:p>
    <w:p>
      <w:pPr>
        <w:spacing w:after="160" w:line="300"/>
      </w:pPr>
      <w:r>
        <w:rPr>
          <w:sz w:val="21"/>
          <w:szCs w:val="21"/>
        </w:rPr>
        <w:t xml:space="preserve">The resulting Gradient Boosting model (ROC-AUC 0.870, cross-validated 0.864 ± 0.009) provides both an accurate ranking of churn risk and, through SHAP, a transparent account of why — enabling the bank to move from </w:t>
      </w:r>
      <w:r>
        <w:rPr>
          <w:i/>
          <w:iCs/>
          <w:sz w:val="21"/>
          <w:szCs w:val="21"/>
        </w:rPr>
        <w:t xml:space="preserve">reactive, broad, costly retention</w:t>
      </w:r>
      <w:r>
        <w:rPr>
          <w:sz w:val="21"/>
          <w:szCs w:val="21"/>
        </w:rPr>
        <w:t xml:space="preserve"> to </w:t>
      </w:r>
      <w:r>
        <w:rPr>
          <w:b/>
          <w:bCs/>
          <w:i/>
          <w:iCs/>
          <w:sz w:val="21"/>
          <w:szCs w:val="21"/>
        </w:rPr>
        <w:t xml:space="preserve">proactive, targeted, explainable retention.</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6"/>
        <w:szCs w:val="16"/>
      </w:rPr>
      <w:t xml:space="preserve">Predictive Modeling and Risk Scoring for Bank Customer Churn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2026-08-09T04:40:04.374Z</dcterms:created>
  <dcterms:modified xsi:type="dcterms:W3CDTF">2026-08-09T04:40:04.394Z</dcterms:modified>
</cp:coreProperties>
</file>

<file path=docProps/custom.xml><?xml version="1.0" encoding="utf-8"?>
<Properties xmlns="http://schemas.openxmlformats.org/officeDocument/2006/custom-properties" xmlns:vt="http://schemas.openxmlformats.org/officeDocument/2006/docPropsVTypes"/>
</file>