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DATA 266 Laboratory 1 Report</w:t>
      </w:r>
    </w:p>
    <w:p>
      <w:pPr>
        <w:jc w:val="center"/>
      </w:pPr>
      <w:r>
        <w:rPr>
          <w:sz w:val="28"/>
        </w:rPr>
        <w:t>LLM, Sentiment Classification, and CycleGAN</w:t>
      </w:r>
    </w:p>
    <w:p>
      <w:pPr>
        <w:jc w:val="center"/>
      </w:pPr>
      <w:r>
        <w:rPr>
          <w:sz w:val="22"/>
        </w:rPr>
        <w:t>Team Pair: 42</w:t>
      </w:r>
    </w:p>
    <w:p>
      <w:pPr>
        <w:jc w:val="center"/>
      </w:pPr>
      <w:r>
        <w:rPr>
          <w:sz w:val="22"/>
        </w:rPr>
        <w:t>Repository: llm-sentiment-cyclegan-lab</w:t>
      </w:r>
    </w:p>
    <w:p>
      <w:pPr>
        <w:jc w:val="center"/>
      </w:pPr>
      <w:r>
        <w:rPr>
          <w:sz w:val="22"/>
        </w:rPr>
        <w:t>Submitted work documented: Anushka Rajesh Khadatkar</w:t>
      </w:r>
    </w:p>
    <w:p>
      <w:pPr>
        <w:jc w:val="center"/>
      </w:pPr>
      <w:r>
        <w:rPr>
          <w:sz w:val="22"/>
        </w:rPr>
        <w:t>Partner: Nikhil Khaneja — work intentionally left blank pending partner submission</w:t>
      </w:r>
    </w:p>
    <w:p>
      <w:pPr>
        <w:jc w:val="center"/>
      </w:pPr>
      <w:r>
        <w:rPr>
          <w:sz w:val="22"/>
        </w:rPr>
        <w:t>Date: October 2026</w:t>
      </w:r>
    </w:p>
    <w:p>
      <w:pPr>
        <w:spacing w:after="100"/>
      </w:pPr>
      <w:r>
        <w:rPr>
          <w:rFonts w:ascii="Arial" w:hAnsi="Arial"/>
          <w:b w:val="0"/>
          <w:sz w:val="20"/>
        </w:rPr>
        <w:t>This report follows the DATA 266 Lab 1 requirements and records the reproducible evidence currently present in the shared Git repository. Results are reported only where artifacts exist; pending human review, Kaggle ranking, and the partner’s implementation are explicitly marked pending.</w:t>
      </w:r>
    </w:p>
    <w:p>
      <w:pPr>
        <w:pStyle w:val="Heading1"/>
      </w:pPr>
      <w:r>
        <w:t>Repository and evidence index</w:t>
      </w:r>
    </w:p>
    <w:p>
      <w:pPr>
        <w:spacing w:after="100"/>
      </w:pPr>
      <w:r>
        <w:rPr>
          <w:rFonts w:ascii="Arial" w:hAnsi="Arial"/>
          <w:b w:val="0"/>
          <w:sz w:val="20"/>
        </w:rPr>
        <w:t xml:space="preserve">Repository link: </w:t>
      </w:r>
      <w:hyperlink r:id="rId9">
        <w:r>
          <w:rPr>
            <w:color w:val="0563C1"/>
            <w:u w:val="single"/>
          </w:rPr>
          <w:t>https://github.com/Nikhil-Khaneja/llm-sentiment-cyclegan-lab</w:t>
        </w:r>
      </w:hyperlink>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Evidence</w:t>
            </w:r>
          </w:p>
        </w:tc>
        <w:tc>
          <w:tcPr>
            <w:tcW w:type="dxa" w:w="4968"/>
            <w:shd w:fill="1F4E79"/>
            <w:vAlign w:val="center"/>
          </w:tcPr>
          <w:p>
            <w:pPr>
              <w:spacing w:after="0"/>
            </w:pPr>
            <w:r>
              <w:rPr>
                <w:rFonts w:ascii="Arial" w:hAnsi="Arial"/>
                <w:b/>
                <w:color w:val="FFFFFF"/>
                <w:sz w:val="17"/>
              </w:rPr>
              <w:t>Location</w:t>
            </w:r>
          </w:p>
        </w:tc>
      </w:tr>
      <w:tr>
        <w:tc>
          <w:tcPr>
            <w:tcW w:type="dxa" w:w="4968"/>
          </w:tcPr>
          <w:p>
            <w:pPr>
              <w:spacing w:after="0"/>
            </w:pPr>
            <w:r>
              <w:rPr>
                <w:rFonts w:ascii="Arial" w:hAnsi="Arial"/>
                <w:b w:val="0"/>
                <w:sz w:val="17"/>
              </w:rPr>
              <w:t>Task 1 notebook/config/results</w:t>
            </w:r>
          </w:p>
        </w:tc>
        <w:tc>
          <w:tcPr>
            <w:tcW w:type="dxa" w:w="4968"/>
          </w:tcPr>
          <w:p>
            <w:pPr>
              <w:spacing w:after="0"/>
            </w:pPr>
            <w:r>
              <w:rPr>
                <w:rFonts w:ascii="Arial" w:hAnsi="Arial"/>
                <w:b w:val="0"/>
                <w:sz w:val="17"/>
              </w:rPr>
              <w:t>task1_llm/member_anushka/</w:t>
            </w:r>
          </w:p>
        </w:tc>
      </w:tr>
      <w:tr>
        <w:tc>
          <w:tcPr>
            <w:tcW w:type="dxa" w:w="4968"/>
          </w:tcPr>
          <w:p>
            <w:pPr>
              <w:spacing w:after="0"/>
            </w:pPr>
            <w:r>
              <w:rPr>
                <w:rFonts w:ascii="Arial" w:hAnsi="Arial"/>
                <w:b w:val="0"/>
                <w:sz w:val="17"/>
              </w:rPr>
              <w:t>Task 2 notebook/config/results</w:t>
            </w:r>
          </w:p>
        </w:tc>
        <w:tc>
          <w:tcPr>
            <w:tcW w:type="dxa" w:w="4968"/>
          </w:tcPr>
          <w:p>
            <w:pPr>
              <w:spacing w:after="0"/>
            </w:pPr>
            <w:r>
              <w:rPr>
                <w:rFonts w:ascii="Arial" w:hAnsi="Arial"/>
                <w:b w:val="0"/>
                <w:sz w:val="17"/>
              </w:rPr>
              <w:t>task2_sentiment/member_anushka/</w:t>
            </w:r>
          </w:p>
        </w:tc>
      </w:tr>
      <w:tr>
        <w:tc>
          <w:tcPr>
            <w:tcW w:type="dxa" w:w="4968"/>
          </w:tcPr>
          <w:p>
            <w:pPr>
              <w:spacing w:after="0"/>
            </w:pPr>
            <w:r>
              <w:rPr>
                <w:rFonts w:ascii="Arial" w:hAnsi="Arial"/>
                <w:b w:val="0"/>
                <w:sz w:val="17"/>
              </w:rPr>
              <w:t>Task 3 notebook/config/results/submission</w:t>
            </w:r>
          </w:p>
        </w:tc>
        <w:tc>
          <w:tcPr>
            <w:tcW w:type="dxa" w:w="4968"/>
          </w:tcPr>
          <w:p>
            <w:pPr>
              <w:spacing w:after="0"/>
            </w:pPr>
            <w:r>
              <w:rPr>
                <w:rFonts w:ascii="Arial" w:hAnsi="Arial"/>
                <w:b w:val="0"/>
                <w:sz w:val="17"/>
              </w:rPr>
              <w:t>task3_gan/member_anushka/</w:t>
            </w:r>
          </w:p>
        </w:tc>
      </w:tr>
      <w:tr>
        <w:tc>
          <w:tcPr>
            <w:tcW w:type="dxa" w:w="4968"/>
          </w:tcPr>
          <w:p>
            <w:pPr>
              <w:spacing w:after="0"/>
            </w:pPr>
            <w:r>
              <w:rPr>
                <w:rFonts w:ascii="Arial" w:hAnsi="Arial"/>
                <w:b w:val="0"/>
                <w:sz w:val="17"/>
              </w:rPr>
              <w:t>Reproducibility manifests</w:t>
            </w:r>
          </w:p>
        </w:tc>
        <w:tc>
          <w:tcPr>
            <w:tcW w:type="dxa" w:w="4968"/>
          </w:tcPr>
          <w:p>
            <w:pPr>
              <w:spacing w:after="0"/>
            </w:pPr>
            <w:r>
              <w:rPr>
                <w:rFonts w:ascii="Arial" w:hAnsi="Arial"/>
                <w:b w:val="0"/>
                <w:sz w:val="17"/>
              </w:rPr>
              <w:t>reproducibility/manifests/</w:t>
            </w:r>
          </w:p>
        </w:tc>
      </w:tr>
      <w:tr>
        <w:tc>
          <w:tcPr>
            <w:tcW w:type="dxa" w:w="4968"/>
          </w:tcPr>
          <w:p>
            <w:pPr>
              <w:spacing w:after="0"/>
            </w:pPr>
            <w:r>
              <w:rPr>
                <w:rFonts w:ascii="Arial" w:hAnsi="Arial"/>
                <w:b w:val="0"/>
                <w:sz w:val="17"/>
              </w:rPr>
              <w:t>Raw logs</w:t>
            </w:r>
          </w:p>
        </w:tc>
        <w:tc>
          <w:tcPr>
            <w:tcW w:type="dxa" w:w="4968"/>
          </w:tcPr>
          <w:p>
            <w:pPr>
              <w:spacing w:after="0"/>
            </w:pPr>
            <w:r>
              <w:rPr>
                <w:rFonts w:ascii="Arial" w:hAnsi="Arial"/>
                <w:b w:val="0"/>
                <w:sz w:val="17"/>
              </w:rPr>
              <w:t>reproducibility/raw_logs/</w:t>
            </w:r>
          </w:p>
        </w:tc>
      </w:tr>
      <w:tr>
        <w:tc>
          <w:tcPr>
            <w:tcW w:type="dxa" w:w="4968"/>
          </w:tcPr>
          <w:p>
            <w:pPr>
              <w:spacing w:after="0"/>
            </w:pPr>
            <w:r>
              <w:rPr>
                <w:rFonts w:ascii="Arial" w:hAnsi="Arial"/>
                <w:b w:val="0"/>
                <w:sz w:val="17"/>
              </w:rPr>
              <w:t>Combined report destination</w:t>
            </w:r>
          </w:p>
        </w:tc>
        <w:tc>
          <w:tcPr>
            <w:tcW w:type="dxa" w:w="4968"/>
          </w:tcPr>
          <w:p>
            <w:pPr>
              <w:spacing w:after="0"/>
            </w:pPr>
            <w:r>
              <w:rPr>
                <w:rFonts w:ascii="Arial" w:hAnsi="Arial"/>
                <w:b w:val="0"/>
                <w:sz w:val="17"/>
              </w:rPr>
              <w:t>report/ (this document can be added here)</w:t>
            </w:r>
          </w:p>
        </w:tc>
      </w:tr>
    </w:tbl>
    <w:p>
      <w:pPr>
        <w:pStyle w:val="Heading1"/>
      </w:pPr>
      <w:r>
        <w:t>Executive summary</w:t>
      </w:r>
    </w:p>
    <w:p>
      <w:pPr>
        <w:spacing w:after="100"/>
      </w:pPr>
      <w:r>
        <w:rPr>
          <w:rFonts w:ascii="Arial" w:hAnsi="Arial"/>
          <w:b w:val="0"/>
          <w:sz w:val="20"/>
        </w:rPr>
        <w:t>Anushka’s repository contribution contains independently runnable implementations for all three lab tasks. The LLM is a 10.93M-parameter character Transformer trained on TinyStories. The sentiment study compares a baseline, CNN, and BiGRU; the BiGRU is the strongest classifier on the recorded test set. The CycleGAN uses a ResNet generator and PatchGAN discriminator pair, with both quantitative translation metrics and checkpoint visualizations recorded. Nikhil’s contribution is intentionally not scored in this report because the requested partner artifacts were not supplied.</w:t>
      </w:r>
    </w:p>
    <w:p>
      <w:pPr>
        <w:pStyle w:val="Heading1"/>
      </w:pPr>
      <w:r>
        <w:t>1. Task 1 — character language model</w:t>
      </w:r>
    </w:p>
    <w:p>
      <w:pPr>
        <w:spacing w:after="100"/>
      </w:pPr>
      <w:r>
        <w:rPr>
          <w:rFonts w:ascii="Arial" w:hAnsi="Arial"/>
          <w:b w:val="0"/>
          <w:sz w:val="20"/>
        </w:rPr>
        <w:t>Objective: train a compact causal language model and evaluate optimization, language-model quality, generation diversity, stability, and efficiency.</w:t>
      </w:r>
    </w:p>
    <w:p>
      <w:pPr>
        <w:pStyle w:val="Heading2"/>
      </w:pPr>
      <w:r>
        <w:t>Anushka — Task 1 implementation and results</w:t>
      </w:r>
    </w:p>
    <w:p>
      <w:pPr>
        <w:spacing w:after="100"/>
      </w:pPr>
      <w:r>
        <w:rPr>
          <w:rFonts w:ascii="Arial" w:hAnsi="Arial"/>
          <w:b w:val="0"/>
          <w:sz w:val="20"/>
        </w:rPr>
        <w:t>Summary: Anushka implemented and executed a character-level causal Transformer on TinyStories. The run reached low validation cross-entropy with a modest train–validation gap, maintained numerical stability, and produced reproducible language-model quality, diversity, and efficiency measurements. The evidence includes the executed notebook, configuration, checkpoint/output artifacts, training curves, manifest, requirements, and raw log.</w:t>
      </w:r>
    </w:p>
    <w:p>
      <w:r>
        <w:br w:type="page"/>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Area</w:t>
            </w:r>
          </w:p>
        </w:tc>
        <w:tc>
          <w:tcPr>
            <w:tcW w:type="dxa" w:w="4968"/>
            <w:shd w:fill="1F4E79"/>
            <w:vAlign w:val="center"/>
          </w:tcPr>
          <w:p>
            <w:pPr>
              <w:spacing w:after="0"/>
            </w:pPr>
            <w:r>
              <w:rPr>
                <w:rFonts w:ascii="Arial" w:hAnsi="Arial"/>
                <w:b/>
                <w:color w:val="FFFFFF"/>
                <w:sz w:val="17"/>
              </w:rPr>
              <w:t>Anushka’s recorded evidence</w:t>
            </w:r>
          </w:p>
        </w:tc>
      </w:tr>
      <w:tr>
        <w:tc>
          <w:tcPr>
            <w:tcW w:type="dxa" w:w="4968"/>
          </w:tcPr>
          <w:p>
            <w:pPr>
              <w:spacing w:after="0"/>
            </w:pPr>
            <w:r>
              <w:rPr>
                <w:rFonts w:ascii="Arial" w:hAnsi="Arial"/>
                <w:b w:val="0"/>
                <w:sz w:val="17"/>
              </w:rPr>
              <w:t>Implementation</w:t>
            </w:r>
          </w:p>
        </w:tc>
        <w:tc>
          <w:tcPr>
            <w:tcW w:type="dxa" w:w="4968"/>
          </w:tcPr>
          <w:p>
            <w:pPr>
              <w:spacing w:after="0"/>
            </w:pPr>
            <w:r>
              <w:rPr>
                <w:rFonts w:ascii="Arial" w:hAnsi="Arial"/>
                <w:b w:val="0"/>
                <w:sz w:val="17"/>
              </w:rPr>
              <w:t>Character tokenizer; token/position embeddings; six pre-LN Transformer blocks; six attention heads; final language-model head</w:t>
            </w:r>
          </w:p>
        </w:tc>
      </w:tr>
      <w:tr>
        <w:tc>
          <w:tcPr>
            <w:tcW w:type="dxa" w:w="4968"/>
          </w:tcPr>
          <w:p>
            <w:pPr>
              <w:spacing w:after="0"/>
            </w:pPr>
            <w:r>
              <w:rPr>
                <w:rFonts w:ascii="Arial" w:hAnsi="Arial"/>
                <w:b w:val="0"/>
                <w:sz w:val="17"/>
              </w:rPr>
              <w:t>Data and split</w:t>
            </w:r>
          </w:p>
        </w:tc>
        <w:tc>
          <w:tcPr>
            <w:tcW w:type="dxa" w:w="4968"/>
          </w:tcPr>
          <w:p>
            <w:pPr>
              <w:spacing w:after="0"/>
            </w:pPr>
            <w:r>
              <w:rPr>
                <w:rFonts w:ascii="Arial" w:hAnsi="Arial"/>
                <w:b w:val="0"/>
                <w:sz w:val="17"/>
              </w:rPr>
              <w:t>TinyStories stream; 100,000 train and 10,000 validation windows; sequence length 512; vocabulary 107</w:t>
            </w:r>
          </w:p>
        </w:tc>
      </w:tr>
      <w:tr>
        <w:tc>
          <w:tcPr>
            <w:tcW w:type="dxa" w:w="4968"/>
          </w:tcPr>
          <w:p>
            <w:pPr>
              <w:spacing w:after="0"/>
            </w:pPr>
            <w:r>
              <w:rPr>
                <w:rFonts w:ascii="Arial" w:hAnsi="Arial"/>
                <w:b w:val="0"/>
                <w:sz w:val="17"/>
              </w:rPr>
              <w:t>Optimization</w:t>
            </w:r>
          </w:p>
        </w:tc>
        <w:tc>
          <w:tcPr>
            <w:tcW w:type="dxa" w:w="4968"/>
          </w:tcPr>
          <w:p>
            <w:pPr>
              <w:spacing w:after="0"/>
            </w:pPr>
            <w:r>
              <w:rPr>
                <w:rFonts w:ascii="Arial" w:hAnsi="Arial"/>
                <w:b w:val="0"/>
                <w:sz w:val="17"/>
              </w:rPr>
              <w:t>AdamW; warmup 800; cosine decay; gradient clipping 1.0; bf16; seed 3963; 20 epochs</w:t>
            </w:r>
          </w:p>
        </w:tc>
      </w:tr>
      <w:tr>
        <w:tc>
          <w:tcPr>
            <w:tcW w:type="dxa" w:w="4968"/>
          </w:tcPr>
          <w:p>
            <w:pPr>
              <w:spacing w:after="0"/>
            </w:pPr>
            <w:r>
              <w:rPr>
                <w:rFonts w:ascii="Arial" w:hAnsi="Arial"/>
                <w:b w:val="0"/>
                <w:sz w:val="17"/>
              </w:rPr>
              <w:t>Evaluation focus</w:t>
            </w:r>
          </w:p>
        </w:tc>
        <w:tc>
          <w:tcPr>
            <w:tcW w:type="dxa" w:w="4968"/>
          </w:tcPr>
          <w:p>
            <w:pPr>
              <w:spacing w:after="0"/>
            </w:pPr>
            <w:r>
              <w:rPr>
                <w:rFonts w:ascii="Arial" w:hAnsi="Arial"/>
                <w:b w:val="0"/>
                <w:sz w:val="17"/>
              </w:rPr>
              <w:t>Cross-entropy, perplexity, BPC, accuracy, diversity, repetition, gradient stability, throughput, memory, and elapsed time</w:t>
            </w:r>
          </w:p>
        </w:tc>
      </w:tr>
    </w:tbl>
    <w:p>
      <w:pPr>
        <w:jc w:val="center"/>
      </w:pPr>
      <w:r>
        <w:drawing>
          <wp:inline xmlns:a="http://schemas.openxmlformats.org/drawingml/2006/main" xmlns:pic="http://schemas.openxmlformats.org/drawingml/2006/picture">
            <wp:extent cx="5760720" cy="1522764"/>
            <wp:docPr id="1" name="Picture 1"/>
            <wp:cNvGraphicFramePr>
              <a:graphicFrameLocks noChangeAspect="1"/>
            </wp:cNvGraphicFramePr>
            <a:graphic>
              <a:graphicData uri="http://schemas.openxmlformats.org/drawingml/2006/picture">
                <pic:pic>
                  <pic:nvPicPr>
                    <pic:cNvPr id="0" name="task1_architecture.png"/>
                    <pic:cNvPicPr/>
                  </pic:nvPicPr>
                  <pic:blipFill>
                    <a:blip r:embed="rId10"/>
                    <a:stretch>
                      <a:fillRect/>
                    </a:stretch>
                  </pic:blipFill>
                  <pic:spPr>
                    <a:xfrm>
                      <a:off x="0" y="0"/>
                      <a:ext cx="5760720" cy="1522764"/>
                    </a:xfrm>
                    <a:prstGeom prst="rect"/>
                  </pic:spPr>
                </pic:pic>
              </a:graphicData>
            </a:graphic>
          </wp:inline>
        </w:drawing>
      </w:r>
    </w:p>
    <w:p>
      <w:pPr>
        <w:jc w:val="center"/>
      </w:pPr>
      <w:r>
        <w:rPr>
          <w:i/>
          <w:sz w:val="16"/>
        </w:rPr>
        <w:t>Figure 1. Task 1 architecture reconstructed from the configuration and results documentation.</w:t>
      </w:r>
    </w:p>
    <w:p>
      <w:pPr>
        <w:pStyle w:val="ListBullet"/>
        <w:spacing w:after="100"/>
      </w:pPr>
      <w:r>
        <w:rPr>
          <w:rFonts w:ascii="Arial" w:hAnsi="Arial"/>
          <w:b w:val="0"/>
          <w:sz w:val="20"/>
        </w:rPr>
        <w:t>Data: streamed TinyStories; 100,000 training windows and 10,000 validation windows, each 512 characters; character vocabulary size 107.</w:t>
      </w:r>
    </w:p>
    <w:p>
      <w:pPr>
        <w:pStyle w:val="ListBullet"/>
        <w:spacing w:after="100"/>
      </w:pPr>
      <w:r>
        <w:rPr>
          <w:rFonts w:ascii="Arial" w:hAnsi="Arial"/>
          <w:b w:val="0"/>
          <w:sz w:val="20"/>
        </w:rPr>
        <w:t>Model: token and position embeddings, six pre-LN Transformer blocks, six attention heads, d_model 384, feed-forward width 1536, dropout 0.15, and a 384→107 language-model head.</w:t>
      </w:r>
    </w:p>
    <w:p>
      <w:pPr>
        <w:pStyle w:val="ListBullet"/>
        <w:spacing w:after="100"/>
      </w:pPr>
      <w:r>
        <w:rPr>
          <w:rFonts w:ascii="Arial" w:hAnsi="Arial"/>
          <w:b w:val="0"/>
          <w:sz w:val="20"/>
        </w:rPr>
        <w:t>Optimization: AdamW, warmup 800 steps, cosine decay, gradient clipping at 1.0, bf16, seed 3963, 20 epochs.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Metric</w:t>
            </w:r>
          </w:p>
        </w:tc>
        <w:tc>
          <w:tcPr>
            <w:tcW w:type="dxa" w:w="4968"/>
            <w:shd w:fill="1F4E79"/>
            <w:vAlign w:val="center"/>
          </w:tcPr>
          <w:p>
            <w:pPr>
              <w:spacing w:after="0"/>
            </w:pPr>
            <w:r>
              <w:rPr>
                <w:rFonts w:ascii="Arial" w:hAnsi="Arial"/>
                <w:b/>
                <w:color w:val="FFFFFF"/>
                <w:sz w:val="17"/>
              </w:rPr>
              <w:t>Recorded value</w:t>
            </w:r>
          </w:p>
        </w:tc>
      </w:tr>
      <w:tr>
        <w:tc>
          <w:tcPr>
            <w:tcW w:type="dxa" w:w="4968"/>
          </w:tcPr>
          <w:p>
            <w:pPr>
              <w:spacing w:after="0"/>
            </w:pPr>
            <w:r>
              <w:rPr>
                <w:rFonts w:ascii="Arial" w:hAnsi="Arial"/>
                <w:b w:val="0"/>
                <w:sz w:val="17"/>
              </w:rPr>
              <w:t>Parameters</w:t>
            </w:r>
          </w:p>
        </w:tc>
        <w:tc>
          <w:tcPr>
            <w:tcW w:type="dxa" w:w="4968"/>
          </w:tcPr>
          <w:p>
            <w:pPr>
              <w:spacing w:after="0"/>
            </w:pPr>
            <w:r>
              <w:rPr>
                <w:rFonts w:ascii="Arial" w:hAnsi="Arial"/>
                <w:b w:val="0"/>
                <w:sz w:val="17"/>
              </w:rPr>
              <w:t>10,926,443</w:t>
            </w:r>
          </w:p>
        </w:tc>
      </w:tr>
      <w:tr>
        <w:tc>
          <w:tcPr>
            <w:tcW w:type="dxa" w:w="4968"/>
          </w:tcPr>
          <w:p>
            <w:pPr>
              <w:spacing w:after="0"/>
            </w:pPr>
            <w:r>
              <w:rPr>
                <w:rFonts w:ascii="Arial" w:hAnsi="Arial"/>
                <w:b w:val="0"/>
                <w:sz w:val="17"/>
              </w:rPr>
              <w:t>Train / validation CE</w:t>
            </w:r>
          </w:p>
        </w:tc>
        <w:tc>
          <w:tcPr>
            <w:tcW w:type="dxa" w:w="4968"/>
          </w:tcPr>
          <w:p>
            <w:pPr>
              <w:spacing w:after="0"/>
            </w:pPr>
            <w:r>
              <w:rPr>
                <w:rFonts w:ascii="Arial" w:hAnsi="Arial"/>
                <w:b w:val="0"/>
                <w:sz w:val="17"/>
              </w:rPr>
              <w:t>0.5252 / 0.5651</w:t>
            </w:r>
          </w:p>
        </w:tc>
      </w:tr>
      <w:tr>
        <w:tc>
          <w:tcPr>
            <w:tcW w:type="dxa" w:w="4968"/>
          </w:tcPr>
          <w:p>
            <w:pPr>
              <w:spacing w:after="0"/>
            </w:pPr>
            <w:r>
              <w:rPr>
                <w:rFonts w:ascii="Arial" w:hAnsi="Arial"/>
                <w:b w:val="0"/>
                <w:sz w:val="17"/>
              </w:rPr>
              <w:t>Train / validation perplexity</w:t>
            </w:r>
          </w:p>
        </w:tc>
        <w:tc>
          <w:tcPr>
            <w:tcW w:type="dxa" w:w="4968"/>
          </w:tcPr>
          <w:p>
            <w:pPr>
              <w:spacing w:after="0"/>
            </w:pPr>
            <w:r>
              <w:rPr>
                <w:rFonts w:ascii="Arial" w:hAnsi="Arial"/>
                <w:b w:val="0"/>
                <w:sz w:val="17"/>
              </w:rPr>
              <w:t>1.691 / 1.760</w:t>
            </w:r>
          </w:p>
        </w:tc>
      </w:tr>
      <w:tr>
        <w:tc>
          <w:tcPr>
            <w:tcW w:type="dxa" w:w="4968"/>
          </w:tcPr>
          <w:p>
            <w:pPr>
              <w:spacing w:after="0"/>
            </w:pPr>
            <w:r>
              <w:rPr>
                <w:rFonts w:ascii="Arial" w:hAnsi="Arial"/>
                <w:b w:val="0"/>
                <w:sz w:val="17"/>
              </w:rPr>
              <w:t>Train / validation BPC</w:t>
            </w:r>
          </w:p>
        </w:tc>
        <w:tc>
          <w:tcPr>
            <w:tcW w:type="dxa" w:w="4968"/>
          </w:tcPr>
          <w:p>
            <w:pPr>
              <w:spacing w:after="0"/>
            </w:pPr>
            <w:r>
              <w:rPr>
                <w:rFonts w:ascii="Arial" w:hAnsi="Arial"/>
                <w:b w:val="0"/>
                <w:sz w:val="17"/>
              </w:rPr>
              <w:t>0.758 / 0.815</w:t>
            </w:r>
          </w:p>
        </w:tc>
      </w:tr>
      <w:tr>
        <w:tc>
          <w:tcPr>
            <w:tcW w:type="dxa" w:w="4968"/>
          </w:tcPr>
          <w:p>
            <w:pPr>
              <w:spacing w:after="0"/>
            </w:pPr>
            <w:r>
              <w:rPr>
                <w:rFonts w:ascii="Arial" w:hAnsi="Arial"/>
                <w:b w:val="0"/>
                <w:sz w:val="17"/>
              </w:rPr>
              <w:t>Validation top-1 accuracy</w:t>
            </w:r>
          </w:p>
        </w:tc>
        <w:tc>
          <w:tcPr>
            <w:tcW w:type="dxa" w:w="4968"/>
          </w:tcPr>
          <w:p>
            <w:pPr>
              <w:spacing w:after="0"/>
            </w:pPr>
            <w:r>
              <w:rPr>
                <w:rFonts w:ascii="Arial" w:hAnsi="Arial"/>
                <w:b w:val="0"/>
                <w:sz w:val="17"/>
              </w:rPr>
              <w:t>82.01%</w:t>
            </w:r>
          </w:p>
        </w:tc>
      </w:tr>
      <w:tr>
        <w:tc>
          <w:tcPr>
            <w:tcW w:type="dxa" w:w="4968"/>
          </w:tcPr>
          <w:p>
            <w:pPr>
              <w:spacing w:after="0"/>
            </w:pPr>
            <w:r>
              <w:rPr>
                <w:rFonts w:ascii="Arial" w:hAnsi="Arial"/>
                <w:b w:val="0"/>
                <w:sz w:val="17"/>
              </w:rPr>
              <w:t>Train–validation CE gap</w:t>
            </w:r>
          </w:p>
        </w:tc>
        <w:tc>
          <w:tcPr>
            <w:tcW w:type="dxa" w:w="4968"/>
          </w:tcPr>
          <w:p>
            <w:pPr>
              <w:spacing w:after="0"/>
            </w:pPr>
            <w:r>
              <w:rPr>
                <w:rFonts w:ascii="Arial" w:hAnsi="Arial"/>
                <w:b w:val="0"/>
                <w:sz w:val="17"/>
              </w:rPr>
              <w:t>0.0399</w:t>
            </w:r>
          </w:p>
        </w:tc>
      </w:tr>
      <w:tr>
        <w:tc>
          <w:tcPr>
            <w:tcW w:type="dxa" w:w="4968"/>
          </w:tcPr>
          <w:p>
            <w:pPr>
              <w:spacing w:after="0"/>
            </w:pPr>
            <w:r>
              <w:rPr>
                <w:rFonts w:ascii="Arial" w:hAnsi="Arial"/>
                <w:b w:val="0"/>
                <w:sz w:val="17"/>
              </w:rPr>
              <w:t>Distinct-1 / 2 / 3</w:t>
            </w:r>
          </w:p>
        </w:tc>
        <w:tc>
          <w:tcPr>
            <w:tcW w:type="dxa" w:w="4968"/>
          </w:tcPr>
          <w:p>
            <w:pPr>
              <w:spacing w:after="0"/>
            </w:pPr>
            <w:r>
              <w:rPr>
                <w:rFonts w:ascii="Arial" w:hAnsi="Arial"/>
                <w:b w:val="0"/>
                <w:sz w:val="17"/>
              </w:rPr>
              <w:t>0.107 / 0.489 / 0.778</w:t>
            </w:r>
          </w:p>
        </w:tc>
      </w:tr>
      <w:tr>
        <w:tc>
          <w:tcPr>
            <w:tcW w:type="dxa" w:w="4968"/>
          </w:tcPr>
          <w:p>
            <w:pPr>
              <w:spacing w:after="0"/>
            </w:pPr>
            <w:r>
              <w:rPr>
                <w:rFonts w:ascii="Arial" w:hAnsi="Arial"/>
                <w:b w:val="0"/>
                <w:sz w:val="17"/>
              </w:rPr>
              <w:t>Repeated 4-gram rate</w:t>
            </w:r>
          </w:p>
        </w:tc>
        <w:tc>
          <w:tcPr>
            <w:tcW w:type="dxa" w:w="4968"/>
          </w:tcPr>
          <w:p>
            <w:pPr>
              <w:spacing w:after="0"/>
            </w:pPr>
            <w:r>
              <w:rPr>
                <w:rFonts w:ascii="Arial" w:hAnsi="Arial"/>
                <w:b w:val="0"/>
                <w:sz w:val="17"/>
              </w:rPr>
              <w:t>0.102</w:t>
            </w:r>
          </w:p>
        </w:tc>
      </w:tr>
      <w:tr>
        <w:tc>
          <w:tcPr>
            <w:tcW w:type="dxa" w:w="4968"/>
          </w:tcPr>
          <w:p>
            <w:pPr>
              <w:spacing w:after="0"/>
            </w:pPr>
            <w:r>
              <w:rPr>
                <w:rFonts w:ascii="Arial" w:hAnsi="Arial"/>
                <w:b w:val="0"/>
                <w:sz w:val="17"/>
              </w:rPr>
              <w:t>Mean / max gradient norm</w:t>
            </w:r>
          </w:p>
        </w:tc>
        <w:tc>
          <w:tcPr>
            <w:tcW w:type="dxa" w:w="4968"/>
          </w:tcPr>
          <w:p>
            <w:pPr>
              <w:spacing w:after="0"/>
            </w:pPr>
            <w:r>
              <w:rPr>
                <w:rFonts w:ascii="Arial" w:hAnsi="Arial"/>
                <w:b w:val="0"/>
                <w:sz w:val="17"/>
              </w:rPr>
              <w:t>0.201 / 2.26</w:t>
            </w:r>
          </w:p>
        </w:tc>
      </w:tr>
      <w:tr>
        <w:tc>
          <w:tcPr>
            <w:tcW w:type="dxa" w:w="4968"/>
          </w:tcPr>
          <w:p>
            <w:pPr>
              <w:spacing w:after="0"/>
            </w:pPr>
            <w:r>
              <w:rPr>
                <w:rFonts w:ascii="Arial" w:hAnsi="Arial"/>
                <w:b w:val="0"/>
                <w:sz w:val="17"/>
              </w:rPr>
              <w:t>Non-finite steps</w:t>
            </w:r>
          </w:p>
        </w:tc>
        <w:tc>
          <w:tcPr>
            <w:tcW w:type="dxa" w:w="4968"/>
          </w:tcPr>
          <w:p>
            <w:pPr>
              <w:spacing w:after="0"/>
            </w:pPr>
            <w:r>
              <w:rPr>
                <w:rFonts w:ascii="Arial" w:hAnsi="Arial"/>
                <w:b w:val="0"/>
                <w:sz w:val="17"/>
              </w:rPr>
              <w:t>0</w:t>
            </w:r>
          </w:p>
        </w:tc>
      </w:tr>
      <w:tr>
        <w:tc>
          <w:tcPr>
            <w:tcW w:type="dxa" w:w="4968"/>
          </w:tcPr>
          <w:p>
            <w:pPr>
              <w:spacing w:after="0"/>
            </w:pPr>
            <w:r>
              <w:rPr>
                <w:rFonts w:ascii="Arial" w:hAnsi="Arial"/>
                <w:b w:val="0"/>
                <w:sz w:val="17"/>
              </w:rPr>
              <w:t>Training throughput</w:t>
            </w:r>
          </w:p>
        </w:tc>
        <w:tc>
          <w:tcPr>
            <w:tcW w:type="dxa" w:w="4968"/>
          </w:tcPr>
          <w:p>
            <w:pPr>
              <w:spacing w:after="0"/>
            </w:pPr>
            <w:r>
              <w:rPr>
                <w:rFonts w:ascii="Arial" w:hAnsi="Arial"/>
                <w:b w:val="0"/>
                <w:sz w:val="17"/>
              </w:rPr>
              <w:t>399K tokens/s</w:t>
            </w:r>
          </w:p>
        </w:tc>
      </w:tr>
      <w:tr>
        <w:tc>
          <w:tcPr>
            <w:tcW w:type="dxa" w:w="4968"/>
          </w:tcPr>
          <w:p>
            <w:pPr>
              <w:spacing w:after="0"/>
            </w:pPr>
            <w:r>
              <w:rPr>
                <w:rFonts w:ascii="Arial" w:hAnsi="Arial"/>
                <w:b w:val="0"/>
                <w:sz w:val="17"/>
              </w:rPr>
              <w:t>Peak memory / total time</w:t>
            </w:r>
          </w:p>
        </w:tc>
        <w:tc>
          <w:tcPr>
            <w:tcW w:type="dxa" w:w="4968"/>
          </w:tcPr>
          <w:p>
            <w:pPr>
              <w:spacing w:after="0"/>
            </w:pPr>
            <w:r>
              <w:rPr>
                <w:rFonts w:ascii="Arial" w:hAnsi="Arial"/>
                <w:b w:val="0"/>
                <w:sz w:val="17"/>
              </w:rPr>
              <w:t>14,805 MB / 2,572.7 s</w:t>
            </w:r>
          </w:p>
        </w:tc>
      </w:tr>
    </w:tbl>
    <w:p>
      <w:pPr>
        <w:jc w:val="center"/>
      </w:pPr>
      <w:r>
        <w:drawing>
          <wp:inline xmlns:a="http://schemas.openxmlformats.org/drawingml/2006/main" xmlns:pic="http://schemas.openxmlformats.org/drawingml/2006/picture">
            <wp:extent cx="5760720" cy="2215662"/>
            <wp:docPr id="2" name="Picture 2"/>
            <wp:cNvGraphicFramePr>
              <a:graphicFrameLocks noChangeAspect="1"/>
            </wp:cNvGraphicFramePr>
            <a:graphic>
              <a:graphicData uri="http://schemas.openxmlformats.org/drawingml/2006/picture">
                <pic:pic>
                  <pic:nvPicPr>
                    <pic:cNvPr id="0" name="training_loss_curve.png"/>
                    <pic:cNvPicPr/>
                  </pic:nvPicPr>
                  <pic:blipFill>
                    <a:blip r:embed="rId11"/>
                    <a:stretch>
                      <a:fillRect/>
                    </a:stretch>
                  </pic:blipFill>
                  <pic:spPr>
                    <a:xfrm>
                      <a:off x="0" y="0"/>
                      <a:ext cx="5760720" cy="2215662"/>
                    </a:xfrm>
                    <a:prstGeom prst="rect"/>
                  </pic:spPr>
                </pic:pic>
              </a:graphicData>
            </a:graphic>
          </wp:inline>
        </w:drawing>
      </w:r>
    </w:p>
    <w:p>
      <w:pPr>
        <w:jc w:val="center"/>
      </w:pPr>
      <w:r>
        <w:rPr>
          <w:i/>
          <w:sz w:val="16"/>
        </w:rPr>
        <w:t>Figure 2. Task 1 training and validation loss curve from the repository output.</w:t>
      </w:r>
    </w:p>
    <w:p>
      <w:pPr>
        <w:pStyle w:val="Heading2"/>
      </w:pPr>
      <w:r>
        <w:t>Task 1 interpretation and failure analysis</w:t>
      </w:r>
    </w:p>
    <w:p>
      <w:pPr>
        <w:pStyle w:val="ListBullet"/>
        <w:spacing w:after="100"/>
      </w:pPr>
      <w:r>
        <w:rPr>
          <w:rFonts w:ascii="Arial" w:hAnsi="Arial"/>
          <w:b w:val="0"/>
          <w:sz w:val="20"/>
        </w:rPr>
        <w:t>The small CE gap and zero non-finite steps indicate stable optimization with moderate generalization separation.</w:t>
      </w:r>
    </w:p>
    <w:p>
      <w:pPr>
        <w:pStyle w:val="ListBullet"/>
        <w:spacing w:after="100"/>
      </w:pPr>
      <w:r>
        <w:rPr>
          <w:rFonts w:ascii="Arial" w:hAnsi="Arial"/>
          <w:b w:val="0"/>
          <w:sz w:val="20"/>
        </w:rPr>
        <w:t>Generation review identified repetition/circular actions, entity or coherence confusion, and spelling/grammar degradation at high temperature.</w:t>
      </w:r>
    </w:p>
    <w:p>
      <w:pPr>
        <w:pStyle w:val="ListBullet"/>
        <w:spacing w:after="100"/>
      </w:pPr>
      <w:r>
        <w:rPr>
          <w:rFonts w:ascii="Arial" w:hAnsi="Arial"/>
          <w:b w:val="0"/>
          <w:sz w:val="20"/>
        </w:rPr>
        <w:t>The repeated 4-gram rate is a useful warning signal: generations are not uniformly diverse even though distinct-n scores increase with n-gram length.</w:t>
      </w:r>
    </w:p>
    <w:p>
      <w:pPr>
        <w:pStyle w:val="ListBullet"/>
        <w:spacing w:after="100"/>
      </w:pPr>
      <w:r>
        <w:rPr>
          <w:rFonts w:ascii="Arial" w:hAnsi="Arial"/>
          <w:b w:val="0"/>
          <w:sz w:val="20"/>
        </w:rPr>
        <w:t>Reproduction evidence includes the notebook, configuration, checkpoint/output files, manifest, requirements, and raw log under the repository paths listed above.</w:t>
      </w:r>
    </w:p>
    <w:p>
      <w:pPr>
        <w:pStyle w:val="Heading1"/>
      </w:pPr>
      <w:r>
        <w:t>2. Task 2 — Yelp sentiment classification</w:t>
      </w:r>
    </w:p>
    <w:p>
      <w:pPr>
        <w:spacing w:after="100"/>
      </w:pPr>
      <w:r>
        <w:rPr>
          <w:rFonts w:ascii="Arial" w:hAnsi="Arial"/>
          <w:b w:val="0"/>
          <w:sz w:val="20"/>
        </w:rPr>
        <w:t>Objective: compare three sentiment architectures under a common data split and report predictive quality, calibration/uncertainty, robustness, error review, and efficiency.</w:t>
      </w:r>
    </w:p>
    <w:p>
      <w:pPr>
        <w:pStyle w:val="Heading2"/>
      </w:pPr>
      <w:r>
        <w:t>Anushka — Task 2 implementation and results</w:t>
      </w:r>
    </w:p>
    <w:p>
      <w:pPr>
        <w:spacing w:after="100"/>
      </w:pPr>
      <w:r>
        <w:rPr>
          <w:rFonts w:ascii="Arial" w:hAnsi="Arial"/>
          <w:b w:val="0"/>
          <w:sz w:val="20"/>
        </w:rPr>
        <w:t>Summary: Anushka trained and evaluated three sentiment classifiers under the same balanced Yelp split: a mean-pooling baseline, a convolutional model, and a bidirectional GRU. The BiGRU achieved the strongest recorded accuracy, macro-F1, ROC-AUC, PR-AUC, and MCC, while the slice analysis identified long reviews as the principal robustness weakness. Calibration, confidence intervals, paired-model testing, throughput, memory, and the required 20-row error-review artifact are included in the repository evidence.</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Area</w:t>
            </w:r>
          </w:p>
        </w:tc>
        <w:tc>
          <w:tcPr>
            <w:tcW w:type="dxa" w:w="4968"/>
            <w:shd w:fill="1F4E79"/>
            <w:vAlign w:val="center"/>
          </w:tcPr>
          <w:p>
            <w:pPr>
              <w:spacing w:after="0"/>
            </w:pPr>
            <w:r>
              <w:rPr>
                <w:rFonts w:ascii="Arial" w:hAnsi="Arial"/>
                <w:b/>
                <w:color w:val="FFFFFF"/>
                <w:sz w:val="17"/>
              </w:rPr>
              <w:t>Anushka’s recorded evidence</w:t>
            </w:r>
          </w:p>
        </w:tc>
      </w:tr>
      <w:tr>
        <w:tc>
          <w:tcPr>
            <w:tcW w:type="dxa" w:w="4968"/>
          </w:tcPr>
          <w:p>
            <w:pPr>
              <w:spacing w:after="0"/>
            </w:pPr>
            <w:r>
              <w:rPr>
                <w:rFonts w:ascii="Arial" w:hAnsi="Arial"/>
                <w:b w:val="0"/>
                <w:sz w:val="17"/>
              </w:rPr>
              <w:t>Data pipeline</w:t>
            </w:r>
          </w:p>
        </w:tc>
        <w:tc>
          <w:tcPr>
            <w:tcW w:type="dxa" w:w="4968"/>
          </w:tcPr>
          <w:p>
            <w:pPr>
              <w:spacing w:after="0"/>
            </w:pPr>
            <w:r>
              <w:rPr>
                <w:rFonts w:ascii="Arial" w:hAnsi="Arial"/>
                <w:b w:val="0"/>
                <w:sz w:val="17"/>
              </w:rPr>
              <w:t>504K train, 56K validation, 38K test; balanced labels; 30K vocabulary; maximum length 200</w:t>
            </w:r>
          </w:p>
        </w:tc>
      </w:tr>
      <w:tr>
        <w:tc>
          <w:tcPr>
            <w:tcW w:type="dxa" w:w="4968"/>
          </w:tcPr>
          <w:p>
            <w:pPr>
              <w:spacing w:after="0"/>
            </w:pPr>
            <w:r>
              <w:rPr>
                <w:rFonts w:ascii="Arial" w:hAnsi="Arial"/>
                <w:b w:val="0"/>
                <w:sz w:val="17"/>
              </w:rPr>
              <w:t>Model comparison</w:t>
            </w:r>
          </w:p>
        </w:tc>
        <w:tc>
          <w:tcPr>
            <w:tcW w:type="dxa" w:w="4968"/>
          </w:tcPr>
          <w:p>
            <w:pPr>
              <w:spacing w:after="0"/>
            </w:pPr>
            <w:r>
              <w:rPr>
                <w:rFonts w:ascii="Arial" w:hAnsi="Arial"/>
                <w:b w:val="0"/>
                <w:sz w:val="17"/>
              </w:rPr>
              <w:t>Baseline mean pooling; CNN with 3/4/5-gram filters; bidirectional GRU</w:t>
            </w:r>
          </w:p>
        </w:tc>
      </w:tr>
      <w:tr>
        <w:tc>
          <w:tcPr>
            <w:tcW w:type="dxa" w:w="4968"/>
          </w:tcPr>
          <w:p>
            <w:pPr>
              <w:spacing w:after="0"/>
            </w:pPr>
            <w:r>
              <w:rPr>
                <w:rFonts w:ascii="Arial" w:hAnsi="Arial"/>
                <w:b w:val="0"/>
                <w:sz w:val="17"/>
              </w:rPr>
              <w:t>Evaluation focus</w:t>
            </w:r>
          </w:p>
        </w:tc>
        <w:tc>
          <w:tcPr>
            <w:tcW w:type="dxa" w:w="4968"/>
          </w:tcPr>
          <w:p>
            <w:pPr>
              <w:spacing w:after="0"/>
            </w:pPr>
            <w:r>
              <w:rPr>
                <w:rFonts w:ascii="Arial" w:hAnsi="Arial"/>
                <w:b w:val="0"/>
                <w:sz w:val="17"/>
              </w:rPr>
              <w:t>Accuracy; macro/micro/weighted precision, recall, and F1; ROC-AUC; PR-AUC; MCC; Brier; ECE; bootstrap intervals</w:t>
            </w:r>
          </w:p>
        </w:tc>
      </w:tr>
      <w:tr>
        <w:tc>
          <w:tcPr>
            <w:tcW w:type="dxa" w:w="4968"/>
          </w:tcPr>
          <w:p>
            <w:pPr>
              <w:spacing w:after="0"/>
            </w:pPr>
            <w:r>
              <w:rPr>
                <w:rFonts w:ascii="Arial" w:hAnsi="Arial"/>
                <w:b w:val="0"/>
                <w:sz w:val="17"/>
              </w:rPr>
              <w:t>Robustness and review</w:t>
            </w:r>
          </w:p>
        </w:tc>
        <w:tc>
          <w:tcPr>
            <w:tcW w:type="dxa" w:w="4968"/>
          </w:tcPr>
          <w:p>
            <w:pPr>
              <w:spacing w:after="0"/>
            </w:pPr>
            <w:r>
              <w:rPr>
                <w:rFonts w:ascii="Arial" w:hAnsi="Arial"/>
                <w:b w:val="0"/>
                <w:sz w:val="17"/>
              </w:rPr>
              <w:t>McNemar comparisons; review-length slices; 20 selected error cases across four required categories; manual annotations pending</w:t>
            </w:r>
          </w:p>
        </w:tc>
      </w:tr>
    </w:tbl>
    <w:p>
      <w:pPr>
        <w:jc w:val="center"/>
      </w:pPr>
      <w:r>
        <w:drawing>
          <wp:inline xmlns:a="http://schemas.openxmlformats.org/drawingml/2006/main" xmlns:pic="http://schemas.openxmlformats.org/drawingml/2006/picture">
            <wp:extent cx="5760720" cy="1522764"/>
            <wp:docPr id="3" name="Picture 3"/>
            <wp:cNvGraphicFramePr>
              <a:graphicFrameLocks noChangeAspect="1"/>
            </wp:cNvGraphicFramePr>
            <a:graphic>
              <a:graphicData uri="http://schemas.openxmlformats.org/drawingml/2006/picture">
                <pic:pic>
                  <pic:nvPicPr>
                    <pic:cNvPr id="0" name="task2_architecture.png"/>
                    <pic:cNvPicPr/>
                  </pic:nvPicPr>
                  <pic:blipFill>
                    <a:blip r:embed="rId12"/>
                    <a:stretch>
                      <a:fillRect/>
                    </a:stretch>
                  </pic:blipFill>
                  <pic:spPr>
                    <a:xfrm>
                      <a:off x="0" y="0"/>
                      <a:ext cx="5760720" cy="1522764"/>
                    </a:xfrm>
                    <a:prstGeom prst="rect"/>
                  </pic:spPr>
                </pic:pic>
              </a:graphicData>
            </a:graphic>
          </wp:inline>
        </w:drawing>
      </w:r>
    </w:p>
    <w:p>
      <w:pPr>
        <w:jc w:val="center"/>
      </w:pPr>
      <w:r>
        <w:rPr>
          <w:i/>
          <w:sz w:val="16"/>
        </w:rPr>
        <w:t>Figure 3. Task 2 model-family architecture.</w:t>
      </w:r>
    </w:p>
    <w:p>
      <w:pPr>
        <w:pStyle w:val="ListBullet"/>
        <w:spacing w:after="100"/>
      </w:pPr>
      <w:r>
        <w:rPr>
          <w:rFonts w:ascii="Arial" w:hAnsi="Arial"/>
          <w:b w:val="0"/>
          <w:sz w:val="20"/>
        </w:rPr>
        <w:t>Data split: 504K training, 56K validation, and 38K test examples; balanced labels. Vocabulary size 30K; maximum sequence length 200; batch size 64; 10 epochs; seed 3963; NVIDIA Tesla T4.</w:t>
      </w:r>
    </w:p>
    <w:p>
      <w:pPr>
        <w:pStyle w:val="ListBullet"/>
        <w:spacing w:after="100"/>
      </w:pPr>
      <w:r>
        <w:rPr>
          <w:rFonts w:ascii="Arial" w:hAnsi="Arial"/>
          <w:b w:val="0"/>
          <w:sz w:val="20"/>
        </w:rPr>
        <w:t>Models: mean-pooling baseline, CNN with 3/4/5-gram filters, and bidirectional GRU.</w:t>
      </w:r>
    </w:p>
    <w:p>
      <w:r>
        <w:br w:type="page"/>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pPr>
              <w:spacing w:after="0"/>
            </w:pPr>
            <w:r>
              <w:rPr>
                <w:rFonts w:ascii="Arial" w:hAnsi="Arial"/>
                <w:b/>
                <w:color w:val="FFFFFF"/>
                <w:sz w:val="17"/>
              </w:rPr>
              <w:t>Model</w:t>
            </w:r>
          </w:p>
        </w:tc>
        <w:tc>
          <w:tcPr>
            <w:tcW w:type="dxa" w:w="1242"/>
            <w:shd w:fill="1F4E79"/>
            <w:vAlign w:val="center"/>
          </w:tcPr>
          <w:p>
            <w:pPr>
              <w:spacing w:after="0"/>
            </w:pPr>
            <w:r>
              <w:rPr>
                <w:rFonts w:ascii="Arial" w:hAnsi="Arial"/>
                <w:b/>
                <w:color w:val="FFFFFF"/>
                <w:sz w:val="17"/>
              </w:rPr>
              <w:t>Accuracy</w:t>
            </w:r>
          </w:p>
        </w:tc>
        <w:tc>
          <w:tcPr>
            <w:tcW w:type="dxa" w:w="1242"/>
            <w:shd w:fill="1F4E79"/>
            <w:vAlign w:val="center"/>
          </w:tcPr>
          <w:p>
            <w:pPr>
              <w:spacing w:after="0"/>
            </w:pPr>
            <w:r>
              <w:rPr>
                <w:rFonts w:ascii="Arial" w:hAnsi="Arial"/>
                <w:b/>
                <w:color w:val="FFFFFF"/>
                <w:sz w:val="17"/>
              </w:rPr>
              <w:t>Macro-F1</w:t>
            </w:r>
          </w:p>
        </w:tc>
        <w:tc>
          <w:tcPr>
            <w:tcW w:type="dxa" w:w="1242"/>
            <w:shd w:fill="1F4E79"/>
            <w:vAlign w:val="center"/>
          </w:tcPr>
          <w:p>
            <w:pPr>
              <w:spacing w:after="0"/>
            </w:pPr>
            <w:r>
              <w:rPr>
                <w:rFonts w:ascii="Arial" w:hAnsi="Arial"/>
                <w:b/>
                <w:color w:val="FFFFFF"/>
                <w:sz w:val="17"/>
              </w:rPr>
              <w:t>ROC-AUC</w:t>
            </w:r>
          </w:p>
        </w:tc>
        <w:tc>
          <w:tcPr>
            <w:tcW w:type="dxa" w:w="1242"/>
            <w:shd w:fill="1F4E79"/>
            <w:vAlign w:val="center"/>
          </w:tcPr>
          <w:p>
            <w:pPr>
              <w:spacing w:after="0"/>
            </w:pPr>
            <w:r>
              <w:rPr>
                <w:rFonts w:ascii="Arial" w:hAnsi="Arial"/>
                <w:b/>
                <w:color w:val="FFFFFF"/>
                <w:sz w:val="17"/>
              </w:rPr>
              <w:t>PR-AUC</w:t>
            </w:r>
          </w:p>
        </w:tc>
        <w:tc>
          <w:tcPr>
            <w:tcW w:type="dxa" w:w="1242"/>
            <w:shd w:fill="1F4E79"/>
            <w:vAlign w:val="center"/>
          </w:tcPr>
          <w:p>
            <w:pPr>
              <w:spacing w:after="0"/>
            </w:pPr>
            <w:r>
              <w:rPr>
                <w:rFonts w:ascii="Arial" w:hAnsi="Arial"/>
                <w:b/>
                <w:color w:val="FFFFFF"/>
                <w:sz w:val="17"/>
              </w:rPr>
              <w:t>MCC</w:t>
            </w:r>
          </w:p>
        </w:tc>
        <w:tc>
          <w:tcPr>
            <w:tcW w:type="dxa" w:w="1242"/>
            <w:shd w:fill="1F4E79"/>
            <w:vAlign w:val="center"/>
          </w:tcPr>
          <w:p>
            <w:pPr>
              <w:spacing w:after="0"/>
            </w:pPr>
            <w:r>
              <w:rPr>
                <w:rFonts w:ascii="Arial" w:hAnsi="Arial"/>
                <w:b/>
                <w:color w:val="FFFFFF"/>
                <w:sz w:val="17"/>
              </w:rPr>
              <w:t>Train s</w:t>
            </w:r>
          </w:p>
        </w:tc>
        <w:tc>
          <w:tcPr>
            <w:tcW w:type="dxa" w:w="1242"/>
            <w:shd w:fill="1F4E79"/>
            <w:vAlign w:val="center"/>
          </w:tcPr>
          <w:p>
            <w:pPr>
              <w:spacing w:after="0"/>
            </w:pPr>
            <w:r>
              <w:rPr>
                <w:rFonts w:ascii="Arial" w:hAnsi="Arial"/>
                <w:b/>
                <w:color w:val="FFFFFF"/>
                <w:sz w:val="17"/>
              </w:rPr>
              <w:t>Peak MB</w:t>
            </w:r>
          </w:p>
        </w:tc>
      </w:tr>
      <w:tr>
        <w:tc>
          <w:tcPr>
            <w:tcW w:type="dxa" w:w="1242"/>
          </w:tcPr>
          <w:p>
            <w:pPr>
              <w:spacing w:after="0"/>
            </w:pPr>
            <w:r>
              <w:rPr>
                <w:rFonts w:ascii="Arial" w:hAnsi="Arial"/>
                <w:b w:val="0"/>
                <w:sz w:val="17"/>
              </w:rPr>
              <w:t>Baseline</w:t>
            </w:r>
          </w:p>
        </w:tc>
        <w:tc>
          <w:tcPr>
            <w:tcW w:type="dxa" w:w="1242"/>
          </w:tcPr>
          <w:p>
            <w:pPr>
              <w:spacing w:after="0"/>
            </w:pPr>
            <w:r>
              <w:rPr>
                <w:rFonts w:ascii="Arial" w:hAnsi="Arial"/>
                <w:b w:val="0"/>
                <w:sz w:val="17"/>
              </w:rPr>
              <w:t>0.9350</w:t>
            </w:r>
          </w:p>
        </w:tc>
        <w:tc>
          <w:tcPr>
            <w:tcW w:type="dxa" w:w="1242"/>
          </w:tcPr>
          <w:p>
            <w:pPr>
              <w:spacing w:after="0"/>
            </w:pPr>
            <w:r>
              <w:rPr>
                <w:rFonts w:ascii="Arial" w:hAnsi="Arial"/>
                <w:b w:val="0"/>
                <w:sz w:val="17"/>
              </w:rPr>
              <w:t>0.9350</w:t>
            </w:r>
          </w:p>
        </w:tc>
        <w:tc>
          <w:tcPr>
            <w:tcW w:type="dxa" w:w="1242"/>
          </w:tcPr>
          <w:p>
            <w:pPr>
              <w:spacing w:after="0"/>
            </w:pPr>
            <w:r>
              <w:rPr>
                <w:rFonts w:ascii="Arial" w:hAnsi="Arial"/>
                <w:b w:val="0"/>
                <w:sz w:val="17"/>
              </w:rPr>
              <w:t>0.9813</w:t>
            </w:r>
          </w:p>
        </w:tc>
        <w:tc>
          <w:tcPr>
            <w:tcW w:type="dxa" w:w="1242"/>
          </w:tcPr>
          <w:p>
            <w:pPr>
              <w:spacing w:after="0"/>
            </w:pPr>
            <w:r>
              <w:rPr>
                <w:rFonts w:ascii="Arial" w:hAnsi="Arial"/>
                <w:b w:val="0"/>
                <w:sz w:val="17"/>
              </w:rPr>
              <w:t>0.9812</w:t>
            </w:r>
          </w:p>
        </w:tc>
        <w:tc>
          <w:tcPr>
            <w:tcW w:type="dxa" w:w="1242"/>
          </w:tcPr>
          <w:p>
            <w:pPr>
              <w:spacing w:after="0"/>
            </w:pPr>
            <w:r>
              <w:rPr>
                <w:rFonts w:ascii="Arial" w:hAnsi="Arial"/>
                <w:b w:val="0"/>
                <w:sz w:val="17"/>
              </w:rPr>
              <w:t>0.8701</w:t>
            </w:r>
          </w:p>
        </w:tc>
        <w:tc>
          <w:tcPr>
            <w:tcW w:type="dxa" w:w="1242"/>
          </w:tcPr>
          <w:p>
            <w:pPr>
              <w:spacing w:after="0"/>
            </w:pPr>
            <w:r>
              <w:rPr>
                <w:rFonts w:ascii="Arial" w:hAnsi="Arial"/>
                <w:b w:val="0"/>
                <w:sz w:val="17"/>
              </w:rPr>
              <w:t>465.6</w:t>
            </w:r>
          </w:p>
        </w:tc>
        <w:tc>
          <w:tcPr>
            <w:tcW w:type="dxa" w:w="1242"/>
          </w:tcPr>
          <w:p>
            <w:pPr>
              <w:spacing w:after="0"/>
            </w:pPr>
            <w:r>
              <w:rPr>
                <w:rFonts w:ascii="Arial" w:hAnsi="Arial"/>
                <w:b w:val="0"/>
                <w:sz w:val="17"/>
              </w:rPr>
              <w:t>90.8</w:t>
            </w:r>
          </w:p>
        </w:tc>
      </w:tr>
      <w:tr>
        <w:tc>
          <w:tcPr>
            <w:tcW w:type="dxa" w:w="1242"/>
          </w:tcPr>
          <w:p>
            <w:pPr>
              <w:spacing w:after="0"/>
            </w:pPr>
            <w:r>
              <w:rPr>
                <w:rFonts w:ascii="Arial" w:hAnsi="Arial"/>
                <w:b w:val="0"/>
                <w:sz w:val="17"/>
              </w:rPr>
              <w:t>CNN</w:t>
            </w:r>
          </w:p>
        </w:tc>
        <w:tc>
          <w:tcPr>
            <w:tcW w:type="dxa" w:w="1242"/>
          </w:tcPr>
          <w:p>
            <w:pPr>
              <w:spacing w:after="0"/>
            </w:pPr>
            <w:r>
              <w:rPr>
                <w:rFonts w:ascii="Arial" w:hAnsi="Arial"/>
                <w:b w:val="0"/>
                <w:sz w:val="17"/>
              </w:rPr>
              <w:t>0.9426</w:t>
            </w:r>
          </w:p>
        </w:tc>
        <w:tc>
          <w:tcPr>
            <w:tcW w:type="dxa" w:w="1242"/>
          </w:tcPr>
          <w:p>
            <w:pPr>
              <w:spacing w:after="0"/>
            </w:pPr>
            <w:r>
              <w:rPr>
                <w:rFonts w:ascii="Arial" w:hAnsi="Arial"/>
                <w:b w:val="0"/>
                <w:sz w:val="17"/>
              </w:rPr>
              <w:t>0.9426</w:t>
            </w:r>
          </w:p>
        </w:tc>
        <w:tc>
          <w:tcPr>
            <w:tcW w:type="dxa" w:w="1242"/>
          </w:tcPr>
          <w:p>
            <w:pPr>
              <w:spacing w:after="0"/>
            </w:pPr>
            <w:r>
              <w:rPr>
                <w:rFonts w:ascii="Arial" w:hAnsi="Arial"/>
                <w:b w:val="0"/>
                <w:sz w:val="17"/>
              </w:rPr>
              <w:t>0.9856</w:t>
            </w:r>
          </w:p>
        </w:tc>
        <w:tc>
          <w:tcPr>
            <w:tcW w:type="dxa" w:w="1242"/>
          </w:tcPr>
          <w:p>
            <w:pPr>
              <w:spacing w:after="0"/>
            </w:pPr>
            <w:r>
              <w:rPr>
                <w:rFonts w:ascii="Arial" w:hAnsi="Arial"/>
                <w:b w:val="0"/>
                <w:sz w:val="17"/>
              </w:rPr>
              <w:t>0.9846</w:t>
            </w:r>
          </w:p>
        </w:tc>
        <w:tc>
          <w:tcPr>
            <w:tcW w:type="dxa" w:w="1242"/>
          </w:tcPr>
          <w:p>
            <w:pPr>
              <w:spacing w:after="0"/>
            </w:pPr>
            <w:r>
              <w:rPr>
                <w:rFonts w:ascii="Arial" w:hAnsi="Arial"/>
                <w:b w:val="0"/>
                <w:sz w:val="17"/>
              </w:rPr>
              <w:t>0.8851</w:t>
            </w:r>
          </w:p>
        </w:tc>
        <w:tc>
          <w:tcPr>
            <w:tcW w:type="dxa" w:w="1242"/>
          </w:tcPr>
          <w:p>
            <w:pPr>
              <w:spacing w:after="0"/>
            </w:pPr>
            <w:r>
              <w:rPr>
                <w:rFonts w:ascii="Arial" w:hAnsi="Arial"/>
                <w:b w:val="0"/>
                <w:sz w:val="17"/>
              </w:rPr>
              <w:t>888.6</w:t>
            </w:r>
          </w:p>
        </w:tc>
        <w:tc>
          <w:tcPr>
            <w:tcW w:type="dxa" w:w="1242"/>
          </w:tcPr>
          <w:p>
            <w:pPr>
              <w:spacing w:after="0"/>
            </w:pPr>
            <w:r>
              <w:rPr>
                <w:rFonts w:ascii="Arial" w:hAnsi="Arial"/>
                <w:b w:val="0"/>
                <w:sz w:val="17"/>
              </w:rPr>
              <w:t>198.6</w:t>
            </w:r>
          </w:p>
        </w:tc>
      </w:tr>
      <w:tr>
        <w:tc>
          <w:tcPr>
            <w:tcW w:type="dxa" w:w="1242"/>
          </w:tcPr>
          <w:p>
            <w:pPr>
              <w:spacing w:after="0"/>
            </w:pPr>
            <w:r>
              <w:rPr>
                <w:rFonts w:ascii="Arial" w:hAnsi="Arial"/>
                <w:b w:val="0"/>
                <w:sz w:val="17"/>
              </w:rPr>
              <w:t>BiGRU</w:t>
            </w:r>
          </w:p>
        </w:tc>
        <w:tc>
          <w:tcPr>
            <w:tcW w:type="dxa" w:w="1242"/>
          </w:tcPr>
          <w:p>
            <w:pPr>
              <w:spacing w:after="0"/>
            </w:pPr>
            <w:r>
              <w:rPr>
                <w:rFonts w:ascii="Arial" w:hAnsi="Arial"/>
                <w:b w:val="0"/>
                <w:sz w:val="17"/>
              </w:rPr>
              <w:t>0.9476</w:t>
            </w:r>
          </w:p>
        </w:tc>
        <w:tc>
          <w:tcPr>
            <w:tcW w:type="dxa" w:w="1242"/>
          </w:tcPr>
          <w:p>
            <w:pPr>
              <w:spacing w:after="0"/>
            </w:pPr>
            <w:r>
              <w:rPr>
                <w:rFonts w:ascii="Arial" w:hAnsi="Arial"/>
                <w:b w:val="0"/>
                <w:sz w:val="17"/>
              </w:rPr>
              <w:t>0.9476</w:t>
            </w:r>
          </w:p>
        </w:tc>
        <w:tc>
          <w:tcPr>
            <w:tcW w:type="dxa" w:w="1242"/>
          </w:tcPr>
          <w:p>
            <w:pPr>
              <w:spacing w:after="0"/>
            </w:pPr>
            <w:r>
              <w:rPr>
                <w:rFonts w:ascii="Arial" w:hAnsi="Arial"/>
                <w:b w:val="0"/>
                <w:sz w:val="17"/>
              </w:rPr>
              <w:t>0.9865</w:t>
            </w:r>
          </w:p>
        </w:tc>
        <w:tc>
          <w:tcPr>
            <w:tcW w:type="dxa" w:w="1242"/>
          </w:tcPr>
          <w:p>
            <w:pPr>
              <w:spacing w:after="0"/>
            </w:pPr>
            <w:r>
              <w:rPr>
                <w:rFonts w:ascii="Arial" w:hAnsi="Arial"/>
                <w:b w:val="0"/>
                <w:sz w:val="17"/>
              </w:rPr>
              <w:t>0.9862</w:t>
            </w:r>
          </w:p>
        </w:tc>
        <w:tc>
          <w:tcPr>
            <w:tcW w:type="dxa" w:w="1242"/>
          </w:tcPr>
          <w:p>
            <w:pPr>
              <w:spacing w:after="0"/>
            </w:pPr>
            <w:r>
              <w:rPr>
                <w:rFonts w:ascii="Arial" w:hAnsi="Arial"/>
                <w:b w:val="0"/>
                <w:sz w:val="17"/>
              </w:rPr>
              <w:t>0.8953</w:t>
            </w:r>
          </w:p>
        </w:tc>
        <w:tc>
          <w:tcPr>
            <w:tcW w:type="dxa" w:w="1242"/>
          </w:tcPr>
          <w:p>
            <w:pPr>
              <w:spacing w:after="0"/>
            </w:pPr>
            <w:r>
              <w:rPr>
                <w:rFonts w:ascii="Arial" w:hAnsi="Arial"/>
                <w:b w:val="0"/>
                <w:sz w:val="17"/>
              </w:rPr>
              <w:t>843.4</w:t>
            </w:r>
          </w:p>
        </w:tc>
        <w:tc>
          <w:tcPr>
            <w:tcW w:type="dxa" w:w="1242"/>
          </w:tcPr>
          <w:p>
            <w:pPr>
              <w:spacing w:after="0"/>
            </w:pPr>
            <w:r>
              <w:rPr>
                <w:rFonts w:ascii="Arial" w:hAnsi="Arial"/>
                <w:b w:val="0"/>
                <w:sz w:val="17"/>
              </w:rPr>
              <w:t>355.4</w:t>
            </w:r>
          </w:p>
        </w:tc>
      </w:tr>
    </w:tbl>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pPr>
              <w:spacing w:after="0"/>
            </w:pPr>
            <w:r>
              <w:rPr>
                <w:rFonts w:ascii="Arial" w:hAnsi="Arial"/>
                <w:b/>
                <w:color w:val="FFFFFF"/>
                <w:sz w:val="17"/>
              </w:rPr>
              <w:t>Model</w:t>
            </w:r>
          </w:p>
        </w:tc>
        <w:tc>
          <w:tcPr>
            <w:tcW w:type="dxa" w:w="1242"/>
            <w:shd w:fill="1F4E79"/>
            <w:vAlign w:val="center"/>
          </w:tcPr>
          <w:p>
            <w:pPr>
              <w:spacing w:after="0"/>
            </w:pPr>
            <w:r>
              <w:rPr>
                <w:rFonts w:ascii="Arial" w:hAnsi="Arial"/>
                <w:b/>
                <w:color w:val="FFFFFF"/>
                <w:sz w:val="17"/>
              </w:rPr>
              <w:t>Precision macro / weighted</w:t>
            </w:r>
          </w:p>
        </w:tc>
        <w:tc>
          <w:tcPr>
            <w:tcW w:type="dxa" w:w="1242"/>
            <w:shd w:fill="1F4E79"/>
            <w:vAlign w:val="center"/>
          </w:tcPr>
          <w:p>
            <w:pPr>
              <w:spacing w:after="0"/>
            </w:pPr>
            <w:r>
              <w:rPr>
                <w:rFonts w:ascii="Arial" w:hAnsi="Arial"/>
                <w:b/>
                <w:color w:val="FFFFFF"/>
                <w:sz w:val="17"/>
              </w:rPr>
              <w:t>Recall macro / weighted</w:t>
            </w:r>
          </w:p>
        </w:tc>
        <w:tc>
          <w:tcPr>
            <w:tcW w:type="dxa" w:w="1242"/>
            <w:shd w:fill="1F4E79"/>
            <w:vAlign w:val="center"/>
          </w:tcPr>
          <w:p>
            <w:pPr>
              <w:spacing w:after="0"/>
            </w:pPr>
            <w:r>
              <w:rPr>
                <w:rFonts w:ascii="Arial" w:hAnsi="Arial"/>
                <w:b/>
                <w:color w:val="FFFFFF"/>
                <w:sz w:val="17"/>
              </w:rPr>
              <w:t>Brier / ECE</w:t>
            </w:r>
          </w:p>
        </w:tc>
        <w:tc>
          <w:tcPr>
            <w:tcW w:type="dxa" w:w="1242"/>
            <w:shd w:fill="1F4E79"/>
            <w:vAlign w:val="center"/>
          </w:tcPr>
          <w:p>
            <w:pPr>
              <w:spacing w:after="0"/>
            </w:pPr>
            <w:r>
              <w:rPr>
                <w:rFonts w:ascii="Arial" w:hAnsi="Arial"/>
                <w:b/>
                <w:color w:val="FFFFFF"/>
                <w:sz w:val="17"/>
              </w:rPr>
              <w:t>Params</w:t>
            </w:r>
          </w:p>
        </w:tc>
        <w:tc>
          <w:tcPr>
            <w:tcW w:type="dxa" w:w="1242"/>
            <w:shd w:fill="1F4E79"/>
            <w:vAlign w:val="center"/>
          </w:tcPr>
          <w:p>
            <w:pPr>
              <w:spacing w:after="0"/>
            </w:pPr>
            <w:r>
              <w:rPr>
                <w:rFonts w:ascii="Arial" w:hAnsi="Arial"/>
                <w:b/>
                <w:color w:val="FFFFFF"/>
                <w:sz w:val="17"/>
              </w:rPr>
              <w:t>Test eps</w:t>
            </w:r>
          </w:p>
        </w:tc>
        <w:tc>
          <w:tcPr>
            <w:tcW w:type="dxa" w:w="1242"/>
            <w:shd w:fill="1F4E79"/>
            <w:vAlign w:val="center"/>
          </w:tcPr>
          <w:p>
            <w:pPr>
              <w:spacing w:after="0"/>
            </w:pPr>
            <w:r>
              <w:rPr>
                <w:rFonts w:ascii="Arial" w:hAnsi="Arial"/>
                <w:b/>
                <w:color w:val="FFFFFF"/>
                <w:sz w:val="17"/>
              </w:rPr>
              <w:t>Accuracy 95% CI</w:t>
            </w:r>
          </w:p>
        </w:tc>
        <w:tc>
          <w:tcPr>
            <w:tcW w:type="dxa" w:w="1242"/>
            <w:shd w:fill="1F4E79"/>
            <w:vAlign w:val="center"/>
          </w:tcPr>
          <w:p>
            <w:pPr>
              <w:spacing w:after="0"/>
            </w:pPr>
            <w:r>
              <w:rPr>
                <w:rFonts w:ascii="Arial" w:hAnsi="Arial"/>
                <w:b/>
                <w:color w:val="FFFFFF"/>
                <w:sz w:val="17"/>
              </w:rPr>
              <w:t>Macro-F1 95% CI</w:t>
            </w:r>
          </w:p>
        </w:tc>
      </w:tr>
      <w:tr>
        <w:tc>
          <w:tcPr>
            <w:tcW w:type="dxa" w:w="1242"/>
          </w:tcPr>
          <w:p>
            <w:pPr>
              <w:spacing w:after="0"/>
            </w:pPr>
            <w:r>
              <w:rPr>
                <w:rFonts w:ascii="Arial" w:hAnsi="Arial"/>
                <w:b w:val="0"/>
                <w:sz w:val="17"/>
              </w:rPr>
              <w:t>Baseline</w:t>
            </w:r>
          </w:p>
        </w:tc>
        <w:tc>
          <w:tcPr>
            <w:tcW w:type="dxa" w:w="1242"/>
          </w:tcPr>
          <w:p>
            <w:pPr>
              <w:spacing w:after="0"/>
            </w:pPr>
            <w:r>
              <w:rPr>
                <w:rFonts w:ascii="Arial" w:hAnsi="Arial"/>
                <w:b w:val="0"/>
                <w:sz w:val="17"/>
              </w:rPr>
              <w:t>0.9351 / 0.9351</w:t>
            </w:r>
          </w:p>
        </w:tc>
        <w:tc>
          <w:tcPr>
            <w:tcW w:type="dxa" w:w="1242"/>
          </w:tcPr>
          <w:p>
            <w:pPr>
              <w:spacing w:after="0"/>
            </w:pPr>
            <w:r>
              <w:rPr>
                <w:rFonts w:ascii="Arial" w:hAnsi="Arial"/>
                <w:b w:val="0"/>
                <w:sz w:val="17"/>
              </w:rPr>
              <w:t>0.9350 / 0.9350</w:t>
            </w:r>
          </w:p>
        </w:tc>
        <w:tc>
          <w:tcPr>
            <w:tcW w:type="dxa" w:w="1242"/>
          </w:tcPr>
          <w:p>
            <w:pPr>
              <w:spacing w:after="0"/>
            </w:pPr>
            <w:r>
              <w:rPr>
                <w:rFonts w:ascii="Arial" w:hAnsi="Arial"/>
                <w:b w:val="0"/>
                <w:sz w:val="17"/>
              </w:rPr>
              <w:t>0.0497 / 0.0142</w:t>
            </w:r>
          </w:p>
        </w:tc>
        <w:tc>
          <w:tcPr>
            <w:tcW w:type="dxa" w:w="1242"/>
          </w:tcPr>
          <w:p>
            <w:pPr>
              <w:spacing w:after="0"/>
            </w:pPr>
            <w:r>
              <w:rPr>
                <w:rFonts w:ascii="Arial" w:hAnsi="Arial"/>
                <w:b w:val="0"/>
                <w:sz w:val="17"/>
              </w:rPr>
              <w:t>3,848,386</w:t>
            </w:r>
          </w:p>
        </w:tc>
        <w:tc>
          <w:tcPr>
            <w:tcW w:type="dxa" w:w="1242"/>
          </w:tcPr>
          <w:p>
            <w:pPr>
              <w:spacing w:after="0"/>
            </w:pPr>
            <w:r>
              <w:rPr>
                <w:rFonts w:ascii="Arial" w:hAnsi="Arial"/>
                <w:b w:val="0"/>
                <w:sz w:val="17"/>
              </w:rPr>
              <w:t>21,419</w:t>
            </w:r>
          </w:p>
        </w:tc>
        <w:tc>
          <w:tcPr>
            <w:tcW w:type="dxa" w:w="1242"/>
          </w:tcPr>
          <w:p>
            <w:pPr>
              <w:spacing w:after="0"/>
            </w:pPr>
            <w:r>
              <w:rPr>
                <w:rFonts w:ascii="Arial" w:hAnsi="Arial"/>
                <w:b w:val="0"/>
                <w:sz w:val="17"/>
              </w:rPr>
              <w:t>[.9327,.9374]</w:t>
            </w:r>
          </w:p>
        </w:tc>
        <w:tc>
          <w:tcPr>
            <w:tcW w:type="dxa" w:w="1242"/>
          </w:tcPr>
          <w:p>
            <w:pPr>
              <w:spacing w:after="0"/>
            </w:pPr>
            <w:r>
              <w:rPr>
                <w:rFonts w:ascii="Arial" w:hAnsi="Arial"/>
                <w:b w:val="0"/>
                <w:sz w:val="17"/>
              </w:rPr>
              <w:t>[.9327,.9374]</w:t>
            </w:r>
          </w:p>
        </w:tc>
      </w:tr>
      <w:tr>
        <w:tc>
          <w:tcPr>
            <w:tcW w:type="dxa" w:w="1242"/>
          </w:tcPr>
          <w:p>
            <w:pPr>
              <w:spacing w:after="0"/>
            </w:pPr>
            <w:r>
              <w:rPr>
                <w:rFonts w:ascii="Arial" w:hAnsi="Arial"/>
                <w:b w:val="0"/>
                <w:sz w:val="17"/>
              </w:rPr>
              <w:t>CNN</w:t>
            </w:r>
          </w:p>
        </w:tc>
        <w:tc>
          <w:tcPr>
            <w:tcW w:type="dxa" w:w="1242"/>
          </w:tcPr>
          <w:p>
            <w:pPr>
              <w:spacing w:after="0"/>
            </w:pPr>
            <w:r>
              <w:rPr>
                <w:rFonts w:ascii="Arial" w:hAnsi="Arial"/>
                <w:b w:val="0"/>
                <w:sz w:val="17"/>
              </w:rPr>
              <w:t>0.9426 / 0.9426</w:t>
            </w:r>
          </w:p>
        </w:tc>
        <w:tc>
          <w:tcPr>
            <w:tcW w:type="dxa" w:w="1242"/>
          </w:tcPr>
          <w:p>
            <w:pPr>
              <w:spacing w:after="0"/>
            </w:pPr>
            <w:r>
              <w:rPr>
                <w:rFonts w:ascii="Arial" w:hAnsi="Arial"/>
                <w:b w:val="0"/>
                <w:sz w:val="17"/>
              </w:rPr>
              <w:t>0.9426 / 0.9426</w:t>
            </w:r>
          </w:p>
        </w:tc>
        <w:tc>
          <w:tcPr>
            <w:tcW w:type="dxa" w:w="1242"/>
          </w:tcPr>
          <w:p>
            <w:pPr>
              <w:spacing w:after="0"/>
            </w:pPr>
            <w:r>
              <w:rPr>
                <w:rFonts w:ascii="Arial" w:hAnsi="Arial"/>
                <w:b w:val="0"/>
                <w:sz w:val="17"/>
              </w:rPr>
              <w:t>0.0517 / 0.0472</w:t>
            </w:r>
          </w:p>
        </w:tc>
        <w:tc>
          <w:tcPr>
            <w:tcW w:type="dxa" w:w="1242"/>
          </w:tcPr>
          <w:p>
            <w:pPr>
              <w:spacing w:after="0"/>
            </w:pPr>
            <w:r>
              <w:rPr>
                <w:rFonts w:ascii="Arial" w:hAnsi="Arial"/>
                <w:b w:val="0"/>
                <w:sz w:val="17"/>
              </w:rPr>
              <w:t>4,086,530</w:t>
            </w:r>
          </w:p>
        </w:tc>
        <w:tc>
          <w:tcPr>
            <w:tcW w:type="dxa" w:w="1242"/>
          </w:tcPr>
          <w:p>
            <w:pPr>
              <w:spacing w:after="0"/>
            </w:pPr>
            <w:r>
              <w:rPr>
                <w:rFonts w:ascii="Arial" w:hAnsi="Arial"/>
                <w:b w:val="0"/>
                <w:sz w:val="17"/>
              </w:rPr>
              <w:t>16,051</w:t>
            </w:r>
          </w:p>
        </w:tc>
        <w:tc>
          <w:tcPr>
            <w:tcW w:type="dxa" w:w="1242"/>
          </w:tcPr>
          <w:p>
            <w:pPr>
              <w:spacing w:after="0"/>
            </w:pPr>
            <w:r>
              <w:rPr>
                <w:rFonts w:ascii="Arial" w:hAnsi="Arial"/>
                <w:b w:val="0"/>
                <w:sz w:val="17"/>
              </w:rPr>
              <w:t>[.9404,.9449]</w:t>
            </w:r>
          </w:p>
        </w:tc>
        <w:tc>
          <w:tcPr>
            <w:tcW w:type="dxa" w:w="1242"/>
          </w:tcPr>
          <w:p>
            <w:pPr>
              <w:spacing w:after="0"/>
            </w:pPr>
            <w:r>
              <w:rPr>
                <w:rFonts w:ascii="Arial" w:hAnsi="Arial"/>
                <w:b w:val="0"/>
                <w:sz w:val="17"/>
              </w:rPr>
              <w:t>[.9404,.9449]</w:t>
            </w:r>
          </w:p>
        </w:tc>
      </w:tr>
      <w:tr>
        <w:tc>
          <w:tcPr>
            <w:tcW w:type="dxa" w:w="1242"/>
          </w:tcPr>
          <w:p>
            <w:pPr>
              <w:spacing w:after="0"/>
            </w:pPr>
            <w:r>
              <w:rPr>
                <w:rFonts w:ascii="Arial" w:hAnsi="Arial"/>
                <w:b w:val="0"/>
                <w:sz w:val="17"/>
              </w:rPr>
              <w:t>BiGRU</w:t>
            </w:r>
          </w:p>
        </w:tc>
        <w:tc>
          <w:tcPr>
            <w:tcW w:type="dxa" w:w="1242"/>
          </w:tcPr>
          <w:p>
            <w:pPr>
              <w:spacing w:after="0"/>
            </w:pPr>
            <w:r>
              <w:rPr>
                <w:rFonts w:ascii="Arial" w:hAnsi="Arial"/>
                <w:b w:val="0"/>
                <w:sz w:val="17"/>
              </w:rPr>
              <w:t>0.9477 / 0.9477</w:t>
            </w:r>
          </w:p>
        </w:tc>
        <w:tc>
          <w:tcPr>
            <w:tcW w:type="dxa" w:w="1242"/>
          </w:tcPr>
          <w:p>
            <w:pPr>
              <w:spacing w:after="0"/>
            </w:pPr>
            <w:r>
              <w:rPr>
                <w:rFonts w:ascii="Arial" w:hAnsi="Arial"/>
                <w:b w:val="0"/>
                <w:sz w:val="17"/>
              </w:rPr>
              <w:t>0.9476 / 0.9476</w:t>
            </w:r>
          </w:p>
        </w:tc>
        <w:tc>
          <w:tcPr>
            <w:tcW w:type="dxa" w:w="1242"/>
          </w:tcPr>
          <w:p>
            <w:pPr>
              <w:spacing w:after="0"/>
            </w:pPr>
            <w:r>
              <w:rPr>
                <w:rFonts w:ascii="Arial" w:hAnsi="Arial"/>
                <w:b w:val="0"/>
                <w:sz w:val="17"/>
              </w:rPr>
              <w:t>0.0461 / 0.0409</w:t>
            </w:r>
          </w:p>
        </w:tc>
        <w:tc>
          <w:tcPr>
            <w:tcW w:type="dxa" w:w="1242"/>
          </w:tcPr>
          <w:p>
            <w:pPr>
              <w:spacing w:after="0"/>
            </w:pPr>
            <w:r>
              <w:rPr>
                <w:rFonts w:ascii="Arial" w:hAnsi="Arial"/>
                <w:b w:val="0"/>
                <w:sz w:val="17"/>
              </w:rPr>
              <w:t>4,071,298</w:t>
            </w:r>
          </w:p>
        </w:tc>
        <w:tc>
          <w:tcPr>
            <w:tcW w:type="dxa" w:w="1242"/>
          </w:tcPr>
          <w:p>
            <w:pPr>
              <w:spacing w:after="0"/>
            </w:pPr>
            <w:r>
              <w:rPr>
                <w:rFonts w:ascii="Arial" w:hAnsi="Arial"/>
                <w:b w:val="0"/>
                <w:sz w:val="17"/>
              </w:rPr>
              <w:t>13,873</w:t>
            </w:r>
          </w:p>
        </w:tc>
        <w:tc>
          <w:tcPr>
            <w:tcW w:type="dxa" w:w="1242"/>
          </w:tcPr>
          <w:p>
            <w:pPr>
              <w:spacing w:after="0"/>
            </w:pPr>
            <w:r>
              <w:rPr>
                <w:rFonts w:ascii="Arial" w:hAnsi="Arial"/>
                <w:b w:val="0"/>
                <w:sz w:val="17"/>
              </w:rPr>
              <w:t>[.9452,.9497]</w:t>
            </w:r>
          </w:p>
        </w:tc>
        <w:tc>
          <w:tcPr>
            <w:tcW w:type="dxa" w:w="1242"/>
          </w:tcPr>
          <w:p>
            <w:pPr>
              <w:spacing w:after="0"/>
            </w:pPr>
            <w:r>
              <w:rPr>
                <w:rFonts w:ascii="Arial" w:hAnsi="Arial"/>
                <w:b w:val="0"/>
                <w:sz w:val="17"/>
              </w:rPr>
              <w:t>[.9452,.9497]</w:t>
            </w:r>
          </w:p>
        </w:tc>
      </w:tr>
    </w:tbl>
    <w:p>
      <w:pPr>
        <w:spacing w:after="100"/>
      </w:pPr>
      <w:r>
        <w:rPr>
          <w:rFonts w:ascii="Arial" w:hAnsi="Arial"/>
          <w:b w:val="0"/>
          <w:sz w:val="20"/>
        </w:rPr>
        <w:t>The BiGRU is the best recorded model on accuracy, macro-F1, ROC-AUC, PR-AUC, and MCC. McNemar tests support a meaningful improvement over the baseline: baseline-only versus BiGRU errors were 860 versus 1,340, χ²=104.29, p=1.75×10⁻²⁴. The BiGRU’s long-review slice is weakest (macro-F1 0.9071; error rate 0.0825), which is the clearest robustness target.</w:t>
      </w:r>
    </w:p>
    <w:p>
      <w:pPr>
        <w:jc w:val="center"/>
      </w:pPr>
      <w:r>
        <w:drawing>
          <wp:inline xmlns:a="http://schemas.openxmlformats.org/drawingml/2006/main" xmlns:pic="http://schemas.openxmlformats.org/drawingml/2006/picture">
            <wp:extent cx="5760720" cy="1920240"/>
            <wp:docPr id="4" name="Picture 4"/>
            <wp:cNvGraphicFramePr>
              <a:graphicFrameLocks noChangeAspect="1"/>
            </wp:cNvGraphicFramePr>
            <a:graphic>
              <a:graphicData uri="http://schemas.openxmlformats.org/drawingml/2006/picture">
                <pic:pic>
                  <pic:nvPicPr>
                    <pic:cNvPr id="0" name="data_distribution.png"/>
                    <pic:cNvPicPr/>
                  </pic:nvPicPr>
                  <pic:blipFill>
                    <a:blip r:embed="rId13"/>
                    <a:stretch>
                      <a:fillRect/>
                    </a:stretch>
                  </pic:blipFill>
                  <pic:spPr>
                    <a:xfrm>
                      <a:off x="0" y="0"/>
                      <a:ext cx="5760720" cy="1920240"/>
                    </a:xfrm>
                    <a:prstGeom prst="rect"/>
                  </pic:spPr>
                </pic:pic>
              </a:graphicData>
            </a:graphic>
          </wp:inline>
        </w:drawing>
      </w:r>
    </w:p>
    <w:p>
      <w:pPr>
        <w:jc w:val="center"/>
      </w:pPr>
      <w:r>
        <w:rPr>
          <w:i/>
          <w:sz w:val="16"/>
        </w:rPr>
        <w:t>Figure 4. Task 2 data distribution evidence.</w:t>
      </w:r>
    </w:p>
    <w:p>
      <w:pPr>
        <w:jc w:val="center"/>
      </w:pPr>
      <w:r>
        <w:drawing>
          <wp:inline xmlns:a="http://schemas.openxmlformats.org/drawingml/2006/main" xmlns:pic="http://schemas.openxmlformats.org/drawingml/2006/picture">
            <wp:extent cx="5760720" cy="2094807"/>
            <wp:docPr id="5" name="Picture 5"/>
            <wp:cNvGraphicFramePr>
              <a:graphicFrameLocks noChangeAspect="1"/>
            </wp:cNvGraphicFramePr>
            <a:graphic>
              <a:graphicData uri="http://schemas.openxmlformats.org/drawingml/2006/picture">
                <pic:pic>
                  <pic:nvPicPr>
                    <pic:cNvPr id="0" name="bigru_evaluation.png"/>
                    <pic:cNvPicPr/>
                  </pic:nvPicPr>
                  <pic:blipFill>
                    <a:blip r:embed="rId14"/>
                    <a:stretch>
                      <a:fillRect/>
                    </a:stretch>
                  </pic:blipFill>
                  <pic:spPr>
                    <a:xfrm>
                      <a:off x="0" y="0"/>
                      <a:ext cx="5760720" cy="2094807"/>
                    </a:xfrm>
                    <a:prstGeom prst="rect"/>
                  </pic:spPr>
                </pic:pic>
              </a:graphicData>
            </a:graphic>
          </wp:inline>
        </w:drawing>
      </w:r>
    </w:p>
    <w:p>
      <w:pPr>
        <w:jc w:val="center"/>
      </w:pPr>
      <w:r>
        <w:rPr>
          <w:i/>
          <w:sz w:val="16"/>
        </w:rPr>
        <w:t>Figure 5. Task 2 BiGRU evaluation evidence.</w:t>
      </w:r>
    </w:p>
    <w:p>
      <w:pPr>
        <w:pStyle w:val="Heading2"/>
      </w:pPr>
      <w:r>
        <w:t>Task 2 error review and limitations</w:t>
      </w:r>
    </w:p>
    <w:p>
      <w:pPr>
        <w:spacing w:after="100"/>
      </w:pPr>
      <w:r>
        <w:rPr>
          <w:rFonts w:ascii="Arial" w:hAnsi="Arial"/>
          <w:b w:val="0"/>
          <w:sz w:val="20"/>
        </w:rPr>
        <w:t>The repository contains the generated 20-row error-review artifact, covering the required categories: five confident false positives, five confident false negatives, five near-threshold cases, and five slice-specific cases. The manual annotation fields are not yet completed. Therefore, this report does not invent observations or fixes. The required next step is to annotate each row with error type, evidence-based observation, and one testable remediation, then rerun the affected slice or evaluation.</w:t>
      </w:r>
    </w:p>
    <w:p>
      <w:pPr>
        <w:pStyle w:val="Heading1"/>
      </w:pPr>
      <w:r>
        <w:t>3. Task 3 — CycleGAN</w:t>
      </w:r>
    </w:p>
    <w:p>
      <w:pPr>
        <w:spacing w:after="100"/>
      </w:pPr>
      <w:r>
        <w:rPr>
          <w:rFonts w:ascii="Arial" w:hAnsi="Arial"/>
          <w:b w:val="0"/>
          <w:sz w:val="20"/>
        </w:rPr>
        <w:t>Objective: translate between Monet paintings and photographs while measuring image quality, coverage, cycle consistency, content preservation, training stability, and submission performance.</w:t>
      </w:r>
    </w:p>
    <w:p>
      <w:pPr>
        <w:pStyle w:val="Heading2"/>
      </w:pPr>
      <w:r>
        <w:t>Anushka — Task 3 implementation and results</w:t>
      </w:r>
    </w:p>
    <w:p>
      <w:pPr>
        <w:spacing w:after="100"/>
      </w:pPr>
      <w:r>
        <w:rPr>
          <w:rFonts w:ascii="Arial" w:hAnsi="Arial"/>
          <w:b w:val="0"/>
          <w:sz w:val="20"/>
        </w:rPr>
        <w:t>Summary: Anushka trained a two-direction CycleGAN between Monet paintings and photographs for 50 epochs. The implementation records generator and discriminator architecture, LSGAN/cycle/identity objectives, augmentation and optimization settings, image-quality metrics in both directions, cycle/content diagnostics, loss curves, translations, checkpoint evidence, and submission metrics. Quantitatively, A→B has stronger fidelity and precision, while B→A has stronger recall and coverage; the remaining human audit and leaderboard fields are explicitly pending.</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Area</w:t>
            </w:r>
          </w:p>
        </w:tc>
        <w:tc>
          <w:tcPr>
            <w:tcW w:type="dxa" w:w="4968"/>
            <w:shd w:fill="1F4E79"/>
            <w:vAlign w:val="center"/>
          </w:tcPr>
          <w:p>
            <w:pPr>
              <w:spacing w:after="0"/>
            </w:pPr>
            <w:r>
              <w:rPr>
                <w:rFonts w:ascii="Arial" w:hAnsi="Arial"/>
                <w:b/>
                <w:color w:val="FFFFFF"/>
                <w:sz w:val="17"/>
              </w:rPr>
              <w:t>Anushka’s recorded evidence</w:t>
            </w:r>
          </w:p>
        </w:tc>
      </w:tr>
      <w:tr>
        <w:tc>
          <w:tcPr>
            <w:tcW w:type="dxa" w:w="4968"/>
          </w:tcPr>
          <w:p>
            <w:pPr>
              <w:spacing w:after="0"/>
            </w:pPr>
            <w:r>
              <w:rPr>
                <w:rFonts w:ascii="Arial" w:hAnsi="Arial"/>
                <w:b w:val="0"/>
                <w:sz w:val="17"/>
              </w:rPr>
              <w:t>Architecture</w:t>
            </w:r>
          </w:p>
        </w:tc>
        <w:tc>
          <w:tcPr>
            <w:tcW w:type="dxa" w:w="4968"/>
          </w:tcPr>
          <w:p>
            <w:pPr>
              <w:spacing w:after="0"/>
            </w:pPr>
            <w:r>
              <w:rPr>
                <w:rFonts w:ascii="Arial" w:hAnsi="Arial"/>
                <w:b w:val="0"/>
                <w:sz w:val="17"/>
              </w:rPr>
              <w:t>Two ResNet generators with nine residual blocks; two 70×70 PatchGAN discriminators; total 28,285,832 parameters</w:t>
            </w:r>
          </w:p>
        </w:tc>
      </w:tr>
      <w:tr>
        <w:tc>
          <w:tcPr>
            <w:tcW w:type="dxa" w:w="4968"/>
          </w:tcPr>
          <w:p>
            <w:pPr>
              <w:spacing w:after="0"/>
            </w:pPr>
            <w:r>
              <w:rPr>
                <w:rFonts w:ascii="Arial" w:hAnsi="Arial"/>
                <w:b w:val="0"/>
                <w:sz w:val="17"/>
              </w:rPr>
              <w:t>Training</w:t>
            </w:r>
          </w:p>
        </w:tc>
        <w:tc>
          <w:tcPr>
            <w:tcW w:type="dxa" w:w="4968"/>
          </w:tcPr>
          <w:p>
            <w:pPr>
              <w:spacing w:after="0"/>
            </w:pPr>
            <w:r>
              <w:rPr>
                <w:rFonts w:ascii="Arial" w:hAnsi="Arial"/>
                <w:b w:val="0"/>
                <w:sz w:val="17"/>
              </w:rPr>
              <w:t>50 epochs; batch 1; resize 286/random crop 256/flip; Adam 2e-4; 25 constant plus 25 decay epochs; seed 3963</w:t>
            </w:r>
          </w:p>
        </w:tc>
      </w:tr>
      <w:tr>
        <w:tc>
          <w:tcPr>
            <w:tcW w:type="dxa" w:w="4968"/>
          </w:tcPr>
          <w:p>
            <w:pPr>
              <w:spacing w:after="0"/>
            </w:pPr>
            <w:r>
              <w:rPr>
                <w:rFonts w:ascii="Arial" w:hAnsi="Arial"/>
                <w:b w:val="0"/>
                <w:sz w:val="17"/>
              </w:rPr>
              <w:t>Evaluation focus</w:t>
            </w:r>
          </w:p>
        </w:tc>
        <w:tc>
          <w:tcPr>
            <w:tcW w:type="dxa" w:w="4968"/>
          </w:tcPr>
          <w:p>
            <w:pPr>
              <w:spacing w:after="0"/>
            </w:pPr>
            <w:r>
              <w:rPr>
                <w:rFonts w:ascii="Arial" w:hAnsi="Arial"/>
                <w:b w:val="0"/>
                <w:sz w:val="17"/>
              </w:rPr>
              <w:t>FID, KID, precision, recall, density, coverage, cycle L1, identity L1, LPIPS, content cosine, loss curves, and stability</w:t>
            </w:r>
          </w:p>
        </w:tc>
      </w:tr>
      <w:tr>
        <w:tc>
          <w:tcPr>
            <w:tcW w:type="dxa" w:w="4968"/>
          </w:tcPr>
          <w:p>
            <w:pPr>
              <w:spacing w:after="0"/>
            </w:pPr>
            <w:r>
              <w:rPr>
                <w:rFonts w:ascii="Arial" w:hAnsi="Arial"/>
                <w:b w:val="0"/>
                <w:sz w:val="17"/>
              </w:rPr>
              <w:t>Submission evidence</w:t>
            </w:r>
          </w:p>
        </w:tc>
        <w:tc>
          <w:tcPr>
            <w:tcW w:type="dxa" w:w="4968"/>
          </w:tcPr>
          <w:p>
            <w:pPr>
              <w:spacing w:after="0"/>
            </w:pPr>
            <w:r>
              <w:rPr>
                <w:rFonts w:ascii="Arial" w:hAnsi="Arial"/>
                <w:b w:val="0"/>
                <w:sz w:val="17"/>
              </w:rPr>
              <w:t>Checkpoint outputs, translations, course-script metrics, submission FID/MiFID; human audit and Kaggle rank pending</w:t>
            </w:r>
          </w:p>
        </w:tc>
      </w:tr>
    </w:tbl>
    <w:p>
      <w:pPr>
        <w:jc w:val="center"/>
      </w:pPr>
      <w:r>
        <w:drawing>
          <wp:inline xmlns:a="http://schemas.openxmlformats.org/drawingml/2006/main" xmlns:pic="http://schemas.openxmlformats.org/drawingml/2006/picture">
            <wp:extent cx="5760720" cy="2082722"/>
            <wp:docPr id="6" name="Picture 6"/>
            <wp:cNvGraphicFramePr>
              <a:graphicFrameLocks noChangeAspect="1"/>
            </wp:cNvGraphicFramePr>
            <a:graphic>
              <a:graphicData uri="http://schemas.openxmlformats.org/drawingml/2006/picture">
                <pic:pic>
                  <pic:nvPicPr>
                    <pic:cNvPr id="0" name="task3_architecture.png"/>
                    <pic:cNvPicPr/>
                  </pic:nvPicPr>
                  <pic:blipFill>
                    <a:blip r:embed="rId15"/>
                    <a:stretch>
                      <a:fillRect/>
                    </a:stretch>
                  </pic:blipFill>
                  <pic:spPr>
                    <a:xfrm>
                      <a:off x="0" y="0"/>
                      <a:ext cx="5760720" cy="2082722"/>
                    </a:xfrm>
                    <a:prstGeom prst="rect"/>
                  </pic:spPr>
                </pic:pic>
              </a:graphicData>
            </a:graphic>
          </wp:inline>
        </w:drawing>
      </w:r>
    </w:p>
    <w:p>
      <w:pPr>
        <w:jc w:val="center"/>
      </w:pPr>
      <w:r>
        <w:rPr>
          <w:i/>
          <w:sz w:val="16"/>
        </w:rPr>
        <w:t>Figure 6. Task 3 CycleGAN architecture and loss relationships.</w:t>
      </w:r>
    </w:p>
    <w:p>
      <w:pPr>
        <w:pStyle w:val="ListBullet"/>
        <w:spacing w:after="100"/>
      </w:pPr>
      <w:r>
        <w:rPr>
          <w:rFonts w:ascii="Arial" w:hAnsi="Arial"/>
          <w:b w:val="0"/>
          <w:sz w:val="20"/>
        </w:rPr>
        <w:t>Domains: A=Monet and B=photo; A→B uses G_A2B and B→A uses G_B2A.</w:t>
      </w:r>
    </w:p>
    <w:p>
      <w:pPr>
        <w:pStyle w:val="ListBullet"/>
        <w:spacing w:after="100"/>
      </w:pPr>
      <w:r>
        <w:rPr>
          <w:rFonts w:ascii="Arial" w:hAnsi="Arial"/>
          <w:b w:val="0"/>
          <w:sz w:val="20"/>
        </w:rPr>
        <w:t>Generators: 11.38M parameters each; 7×7 stem, two downsampling convolutions, nine residual blocks, two transposed convolutions, tanh output, instance normalization, and reflection padding.</w:t>
      </w:r>
    </w:p>
    <w:p>
      <w:pPr>
        <w:pStyle w:val="ListBullet"/>
        <w:spacing w:after="100"/>
      </w:pPr>
      <w:r>
        <w:rPr>
          <w:rFonts w:ascii="Arial" w:hAnsi="Arial"/>
          <w:b w:val="0"/>
          <w:sz w:val="20"/>
        </w:rPr>
        <w:t>Discriminators: 2.76M parameters each; 70×70 PatchGAN. Total parameters: 28,285,832.</w:t>
      </w:r>
    </w:p>
    <w:p>
      <w:pPr>
        <w:pStyle w:val="ListBullet"/>
        <w:spacing w:after="100"/>
      </w:pPr>
      <w:r>
        <w:rPr>
          <w:rFonts w:ascii="Arial" w:hAnsi="Arial"/>
          <w:b w:val="0"/>
          <w:sz w:val="20"/>
        </w:rPr>
        <w:t>Training: LSGAN, cycle L1 weight 10, identity L1 weight 5, batch size 1, resize 286/random crop 256/flip, Adam 2e-4 with β=(0.5,0.999), 25 constant plus 25 decay epochs, history pool 50, seed 3963.</w:t>
      </w:r>
    </w:p>
    <w:p>
      <w:r>
        <w:br w:type="page"/>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F4E79"/>
            <w:vAlign w:val="center"/>
          </w:tcPr>
          <w:p>
            <w:pPr>
              <w:spacing w:after="0"/>
            </w:pPr>
            <w:r>
              <w:rPr>
                <w:rFonts w:ascii="Arial" w:hAnsi="Arial"/>
                <w:b/>
                <w:color w:val="FFFFFF"/>
                <w:sz w:val="17"/>
              </w:rPr>
              <w:t>Direction</w:t>
            </w:r>
          </w:p>
        </w:tc>
        <w:tc>
          <w:tcPr>
            <w:tcW w:type="dxa" w:w="1104"/>
            <w:shd w:fill="1F4E79"/>
            <w:vAlign w:val="center"/>
          </w:tcPr>
          <w:p>
            <w:pPr>
              <w:spacing w:after="0"/>
            </w:pPr>
            <w:r>
              <w:rPr>
                <w:rFonts w:ascii="Arial" w:hAnsi="Arial"/>
                <w:b/>
                <w:color w:val="FFFFFF"/>
                <w:sz w:val="17"/>
              </w:rPr>
              <w:t>FID</w:t>
            </w:r>
          </w:p>
        </w:tc>
        <w:tc>
          <w:tcPr>
            <w:tcW w:type="dxa" w:w="1104"/>
            <w:shd w:fill="1F4E79"/>
            <w:vAlign w:val="center"/>
          </w:tcPr>
          <w:p>
            <w:pPr>
              <w:spacing w:after="0"/>
            </w:pPr>
            <w:r>
              <w:rPr>
                <w:rFonts w:ascii="Arial" w:hAnsi="Arial"/>
                <w:b/>
                <w:color w:val="FFFFFF"/>
                <w:sz w:val="17"/>
              </w:rPr>
              <w:t>KID</w:t>
            </w:r>
          </w:p>
        </w:tc>
        <w:tc>
          <w:tcPr>
            <w:tcW w:type="dxa" w:w="1104"/>
            <w:shd w:fill="1F4E79"/>
            <w:vAlign w:val="center"/>
          </w:tcPr>
          <w:p>
            <w:pPr>
              <w:spacing w:after="0"/>
            </w:pPr>
            <w:r>
              <w:rPr>
                <w:rFonts w:ascii="Arial" w:hAnsi="Arial"/>
                <w:b/>
                <w:color w:val="FFFFFF"/>
                <w:sz w:val="17"/>
              </w:rPr>
              <w:t>Precision</w:t>
            </w:r>
          </w:p>
        </w:tc>
        <w:tc>
          <w:tcPr>
            <w:tcW w:type="dxa" w:w="1104"/>
            <w:shd w:fill="1F4E79"/>
            <w:vAlign w:val="center"/>
          </w:tcPr>
          <w:p>
            <w:pPr>
              <w:spacing w:after="0"/>
            </w:pPr>
            <w:r>
              <w:rPr>
                <w:rFonts w:ascii="Arial" w:hAnsi="Arial"/>
                <w:b/>
                <w:color w:val="FFFFFF"/>
                <w:sz w:val="17"/>
              </w:rPr>
              <w:t>Recall</w:t>
            </w:r>
          </w:p>
        </w:tc>
        <w:tc>
          <w:tcPr>
            <w:tcW w:type="dxa" w:w="1104"/>
            <w:shd w:fill="1F4E79"/>
            <w:vAlign w:val="center"/>
          </w:tcPr>
          <w:p>
            <w:pPr>
              <w:spacing w:after="0"/>
            </w:pPr>
            <w:r>
              <w:rPr>
                <w:rFonts w:ascii="Arial" w:hAnsi="Arial"/>
                <w:b/>
                <w:color w:val="FFFFFF"/>
                <w:sz w:val="17"/>
              </w:rPr>
              <w:t>Coverage</w:t>
            </w:r>
          </w:p>
        </w:tc>
        <w:tc>
          <w:tcPr>
            <w:tcW w:type="dxa" w:w="1104"/>
            <w:shd w:fill="1F4E79"/>
            <w:vAlign w:val="center"/>
          </w:tcPr>
          <w:p>
            <w:pPr>
              <w:spacing w:after="0"/>
            </w:pPr>
            <w:r>
              <w:rPr>
                <w:rFonts w:ascii="Arial" w:hAnsi="Arial"/>
                <w:b/>
                <w:color w:val="FFFFFF"/>
                <w:sz w:val="17"/>
              </w:rPr>
              <w:t>Cycle L1</w:t>
            </w:r>
          </w:p>
        </w:tc>
        <w:tc>
          <w:tcPr>
            <w:tcW w:type="dxa" w:w="1104"/>
            <w:shd w:fill="1F4E79"/>
            <w:vAlign w:val="center"/>
          </w:tcPr>
          <w:p>
            <w:pPr>
              <w:spacing w:after="0"/>
            </w:pPr>
            <w:r>
              <w:rPr>
                <w:rFonts w:ascii="Arial" w:hAnsi="Arial"/>
                <w:b/>
                <w:color w:val="FFFFFF"/>
                <w:sz w:val="17"/>
              </w:rPr>
              <w:t>LPIPS trans.</w:t>
            </w:r>
          </w:p>
        </w:tc>
        <w:tc>
          <w:tcPr>
            <w:tcW w:type="dxa" w:w="1104"/>
            <w:shd w:fill="1F4E79"/>
            <w:vAlign w:val="center"/>
          </w:tcPr>
          <w:p>
            <w:pPr>
              <w:spacing w:after="0"/>
            </w:pPr>
            <w:r>
              <w:rPr>
                <w:rFonts w:ascii="Arial" w:hAnsi="Arial"/>
                <w:b/>
                <w:color w:val="FFFFFF"/>
                <w:sz w:val="17"/>
              </w:rPr>
              <w:t>Content cosine</w:t>
            </w:r>
          </w:p>
        </w:tc>
      </w:tr>
      <w:tr>
        <w:tc>
          <w:tcPr>
            <w:tcW w:type="dxa" w:w="1104"/>
          </w:tcPr>
          <w:p>
            <w:pPr>
              <w:spacing w:after="0"/>
            </w:pPr>
            <w:r>
              <w:rPr>
                <w:rFonts w:ascii="Arial" w:hAnsi="Arial"/>
                <w:b w:val="0"/>
                <w:sz w:val="17"/>
              </w:rPr>
              <w:t>A→B</w:t>
            </w:r>
          </w:p>
        </w:tc>
        <w:tc>
          <w:tcPr>
            <w:tcW w:type="dxa" w:w="1104"/>
          </w:tcPr>
          <w:p>
            <w:pPr>
              <w:spacing w:after="0"/>
            </w:pPr>
            <w:r>
              <w:rPr>
                <w:rFonts w:ascii="Arial" w:hAnsi="Arial"/>
                <w:b w:val="0"/>
                <w:sz w:val="17"/>
              </w:rPr>
              <w:t>81.16</w:t>
            </w:r>
          </w:p>
        </w:tc>
        <w:tc>
          <w:tcPr>
            <w:tcW w:type="dxa" w:w="1104"/>
          </w:tcPr>
          <w:p>
            <w:pPr>
              <w:spacing w:after="0"/>
            </w:pPr>
            <w:r>
              <w:rPr>
                <w:rFonts w:ascii="Arial" w:hAnsi="Arial"/>
                <w:b w:val="0"/>
                <w:sz w:val="17"/>
              </w:rPr>
              <w:t>0.0163±0.0007</w:t>
            </w:r>
          </w:p>
        </w:tc>
        <w:tc>
          <w:tcPr>
            <w:tcW w:type="dxa" w:w="1104"/>
          </w:tcPr>
          <w:p>
            <w:pPr>
              <w:spacing w:after="0"/>
            </w:pPr>
            <w:r>
              <w:rPr>
                <w:rFonts w:ascii="Arial" w:hAnsi="Arial"/>
                <w:b w:val="0"/>
                <w:sz w:val="17"/>
              </w:rPr>
              <w:t>0.740</w:t>
            </w:r>
          </w:p>
        </w:tc>
        <w:tc>
          <w:tcPr>
            <w:tcW w:type="dxa" w:w="1104"/>
          </w:tcPr>
          <w:p>
            <w:pPr>
              <w:spacing w:after="0"/>
            </w:pPr>
            <w:r>
              <w:rPr>
                <w:rFonts w:ascii="Arial" w:hAnsi="Arial"/>
                <w:b w:val="0"/>
                <w:sz w:val="17"/>
              </w:rPr>
              <w:t>0.469</w:t>
            </w:r>
          </w:p>
        </w:tc>
        <w:tc>
          <w:tcPr>
            <w:tcW w:type="dxa" w:w="1104"/>
          </w:tcPr>
          <w:p>
            <w:pPr>
              <w:spacing w:after="0"/>
            </w:pPr>
            <w:r>
              <w:rPr>
                <w:rFonts w:ascii="Arial" w:hAnsi="Arial"/>
                <w:b w:val="0"/>
                <w:sz w:val="17"/>
              </w:rPr>
              <w:t>0.554</w:t>
            </w:r>
          </w:p>
        </w:tc>
        <w:tc>
          <w:tcPr>
            <w:tcW w:type="dxa" w:w="1104"/>
          </w:tcPr>
          <w:p>
            <w:pPr>
              <w:spacing w:after="0"/>
            </w:pPr>
            <w:r>
              <w:rPr>
                <w:rFonts w:ascii="Arial" w:hAnsi="Arial"/>
                <w:b w:val="0"/>
                <w:sz w:val="17"/>
              </w:rPr>
              <w:t>0.0345</w:t>
            </w:r>
          </w:p>
        </w:tc>
        <w:tc>
          <w:tcPr>
            <w:tcW w:type="dxa" w:w="1104"/>
          </w:tcPr>
          <w:p>
            <w:pPr>
              <w:spacing w:after="0"/>
            </w:pPr>
            <w:r>
              <w:rPr>
                <w:rFonts w:ascii="Arial" w:hAnsi="Arial"/>
                <w:b w:val="0"/>
                <w:sz w:val="17"/>
              </w:rPr>
              <w:t>0.338</w:t>
            </w:r>
          </w:p>
        </w:tc>
        <w:tc>
          <w:tcPr>
            <w:tcW w:type="dxa" w:w="1104"/>
          </w:tcPr>
          <w:p>
            <w:pPr>
              <w:spacing w:after="0"/>
            </w:pPr>
            <w:r>
              <w:rPr>
                <w:rFonts w:ascii="Arial" w:hAnsi="Arial"/>
                <w:b w:val="0"/>
                <w:sz w:val="17"/>
              </w:rPr>
              <w:t>0.792</w:t>
            </w:r>
          </w:p>
        </w:tc>
      </w:tr>
      <w:tr>
        <w:tc>
          <w:tcPr>
            <w:tcW w:type="dxa" w:w="1104"/>
          </w:tcPr>
          <w:p>
            <w:pPr>
              <w:spacing w:after="0"/>
            </w:pPr>
            <w:r>
              <w:rPr>
                <w:rFonts w:ascii="Arial" w:hAnsi="Arial"/>
                <w:b w:val="0"/>
                <w:sz w:val="17"/>
              </w:rPr>
              <w:t>B→A</w:t>
            </w:r>
          </w:p>
        </w:tc>
        <w:tc>
          <w:tcPr>
            <w:tcW w:type="dxa" w:w="1104"/>
          </w:tcPr>
          <w:p>
            <w:pPr>
              <w:spacing w:after="0"/>
            </w:pPr>
            <w:r>
              <w:rPr>
                <w:rFonts w:ascii="Arial" w:hAnsi="Arial"/>
                <w:b w:val="0"/>
                <w:sz w:val="17"/>
              </w:rPr>
              <w:t>88.58</w:t>
            </w:r>
          </w:p>
        </w:tc>
        <w:tc>
          <w:tcPr>
            <w:tcW w:type="dxa" w:w="1104"/>
          </w:tcPr>
          <w:p>
            <w:pPr>
              <w:spacing w:after="0"/>
            </w:pPr>
            <w:r>
              <w:rPr>
                <w:rFonts w:ascii="Arial" w:hAnsi="Arial"/>
                <w:b w:val="0"/>
                <w:sz w:val="17"/>
              </w:rPr>
              <w:t>0.0143±0.0010</w:t>
            </w:r>
          </w:p>
        </w:tc>
        <w:tc>
          <w:tcPr>
            <w:tcW w:type="dxa" w:w="1104"/>
          </w:tcPr>
          <w:p>
            <w:pPr>
              <w:spacing w:after="0"/>
            </w:pPr>
            <w:r>
              <w:rPr>
                <w:rFonts w:ascii="Arial" w:hAnsi="Arial"/>
                <w:b w:val="0"/>
                <w:sz w:val="17"/>
              </w:rPr>
              <w:t>0.504</w:t>
            </w:r>
          </w:p>
        </w:tc>
        <w:tc>
          <w:tcPr>
            <w:tcW w:type="dxa" w:w="1104"/>
          </w:tcPr>
          <w:p>
            <w:pPr>
              <w:spacing w:after="0"/>
            </w:pPr>
            <w:r>
              <w:rPr>
                <w:rFonts w:ascii="Arial" w:hAnsi="Arial"/>
                <w:b w:val="0"/>
                <w:sz w:val="17"/>
              </w:rPr>
              <w:t>0.643</w:t>
            </w:r>
          </w:p>
        </w:tc>
        <w:tc>
          <w:tcPr>
            <w:tcW w:type="dxa" w:w="1104"/>
          </w:tcPr>
          <w:p>
            <w:pPr>
              <w:spacing w:after="0"/>
            </w:pPr>
            <w:r>
              <w:rPr>
                <w:rFonts w:ascii="Arial" w:hAnsi="Arial"/>
                <w:b w:val="0"/>
                <w:sz w:val="17"/>
              </w:rPr>
              <w:t>0.897</w:t>
            </w:r>
          </w:p>
        </w:tc>
        <w:tc>
          <w:tcPr>
            <w:tcW w:type="dxa" w:w="1104"/>
          </w:tcPr>
          <w:p>
            <w:pPr>
              <w:spacing w:after="0"/>
            </w:pPr>
            <w:r>
              <w:rPr>
                <w:rFonts w:ascii="Arial" w:hAnsi="Arial"/>
                <w:b w:val="0"/>
                <w:sz w:val="17"/>
              </w:rPr>
              <w:t>0.0467</w:t>
            </w:r>
          </w:p>
        </w:tc>
        <w:tc>
          <w:tcPr>
            <w:tcW w:type="dxa" w:w="1104"/>
          </w:tcPr>
          <w:p>
            <w:pPr>
              <w:spacing w:after="0"/>
            </w:pPr>
            <w:r>
              <w:rPr>
                <w:rFonts w:ascii="Arial" w:hAnsi="Arial"/>
                <w:b w:val="0"/>
                <w:sz w:val="17"/>
              </w:rPr>
              <w:t>0.385</w:t>
            </w:r>
          </w:p>
        </w:tc>
        <w:tc>
          <w:tcPr>
            <w:tcW w:type="dxa" w:w="1104"/>
          </w:tcPr>
          <w:p>
            <w:pPr>
              <w:spacing w:after="0"/>
            </w:pPr>
            <w:r>
              <w:rPr>
                <w:rFonts w:ascii="Arial" w:hAnsi="Arial"/>
                <w:b w:val="0"/>
                <w:sz w:val="17"/>
              </w:rPr>
              <w:t>0.741</w:t>
            </w:r>
          </w:p>
        </w:tc>
      </w:tr>
    </w:tbl>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Efficiency/stability</w:t>
            </w:r>
          </w:p>
        </w:tc>
        <w:tc>
          <w:tcPr>
            <w:tcW w:type="dxa" w:w="4968"/>
            <w:shd w:fill="1F4E79"/>
            <w:vAlign w:val="center"/>
          </w:tcPr>
          <w:p>
            <w:pPr>
              <w:spacing w:after="0"/>
            </w:pPr>
            <w:r>
              <w:rPr>
                <w:rFonts w:ascii="Arial" w:hAnsi="Arial"/>
                <w:b/>
                <w:color w:val="FFFFFF"/>
                <w:sz w:val="17"/>
              </w:rPr>
              <w:t>Value</w:t>
            </w:r>
          </w:p>
        </w:tc>
      </w:tr>
      <w:tr>
        <w:tc>
          <w:tcPr>
            <w:tcW w:type="dxa" w:w="4968"/>
          </w:tcPr>
          <w:p>
            <w:pPr>
              <w:spacing w:after="0"/>
            </w:pPr>
            <w:r>
              <w:rPr>
                <w:rFonts w:ascii="Arial" w:hAnsi="Arial"/>
                <w:b w:val="0"/>
                <w:sz w:val="17"/>
              </w:rPr>
              <w:t>Training time / throughput</w:t>
            </w:r>
          </w:p>
        </w:tc>
        <w:tc>
          <w:tcPr>
            <w:tcW w:type="dxa" w:w="4968"/>
          </w:tcPr>
          <w:p>
            <w:pPr>
              <w:spacing w:after="0"/>
            </w:pPr>
            <w:r>
              <w:rPr>
                <w:rFonts w:ascii="Arial" w:hAnsi="Arial"/>
                <w:b w:val="0"/>
                <w:sz w:val="17"/>
              </w:rPr>
              <w:t>22,507 s / 26.84 images/s</w:t>
            </w:r>
          </w:p>
        </w:tc>
      </w:tr>
      <w:tr>
        <w:tc>
          <w:tcPr>
            <w:tcW w:type="dxa" w:w="4968"/>
          </w:tcPr>
          <w:p>
            <w:pPr>
              <w:spacing w:after="0"/>
            </w:pPr>
            <w:r>
              <w:rPr>
                <w:rFonts w:ascii="Arial" w:hAnsi="Arial"/>
                <w:b w:val="0"/>
                <w:sz w:val="17"/>
              </w:rPr>
              <w:t>Peak train / evaluation memory</w:t>
            </w:r>
          </w:p>
        </w:tc>
        <w:tc>
          <w:tcPr>
            <w:tcW w:type="dxa" w:w="4968"/>
          </w:tcPr>
          <w:p>
            <w:pPr>
              <w:spacing w:after="0"/>
            </w:pPr>
            <w:r>
              <w:rPr>
                <w:rFonts w:ascii="Arial" w:hAnsi="Arial"/>
                <w:b w:val="0"/>
                <w:sz w:val="17"/>
              </w:rPr>
              <w:t>9,974 / 11,898 MB</w:t>
            </w:r>
          </w:p>
        </w:tc>
      </w:tr>
      <w:tr>
        <w:tc>
          <w:tcPr>
            <w:tcW w:type="dxa" w:w="4968"/>
          </w:tcPr>
          <w:p>
            <w:pPr>
              <w:spacing w:after="0"/>
            </w:pPr>
            <w:r>
              <w:rPr>
                <w:rFonts w:ascii="Arial" w:hAnsi="Arial"/>
                <w:b w:val="0"/>
                <w:sz w:val="17"/>
              </w:rPr>
              <w:t>Non-finite steps</w:t>
            </w:r>
          </w:p>
        </w:tc>
        <w:tc>
          <w:tcPr>
            <w:tcW w:type="dxa" w:w="4968"/>
          </w:tcPr>
          <w:p>
            <w:pPr>
              <w:spacing w:after="0"/>
            </w:pPr>
            <w:r>
              <w:rPr>
                <w:rFonts w:ascii="Arial" w:hAnsi="Arial"/>
                <w:b w:val="0"/>
                <w:sz w:val="17"/>
              </w:rPr>
              <w:t>0</w:t>
            </w:r>
          </w:p>
        </w:tc>
      </w:tr>
      <w:tr>
        <w:tc>
          <w:tcPr>
            <w:tcW w:type="dxa" w:w="4968"/>
          </w:tcPr>
          <w:p>
            <w:pPr>
              <w:spacing w:after="0"/>
            </w:pPr>
            <w:r>
              <w:rPr>
                <w:rFonts w:ascii="Arial" w:hAnsi="Arial"/>
                <w:b w:val="0"/>
                <w:sz w:val="17"/>
              </w:rPr>
              <w:t>Course-script FID A→B / B→A</w:t>
            </w:r>
          </w:p>
        </w:tc>
        <w:tc>
          <w:tcPr>
            <w:tcW w:type="dxa" w:w="4968"/>
          </w:tcPr>
          <w:p>
            <w:pPr>
              <w:spacing w:after="0"/>
            </w:pPr>
            <w:r>
              <w:rPr>
                <w:rFonts w:ascii="Arial" w:hAnsi="Arial"/>
                <w:b w:val="0"/>
                <w:sz w:val="17"/>
              </w:rPr>
              <w:t>98.75 / 95.02</w:t>
            </w:r>
          </w:p>
        </w:tc>
      </w:tr>
      <w:tr>
        <w:tc>
          <w:tcPr>
            <w:tcW w:type="dxa" w:w="4968"/>
          </w:tcPr>
          <w:p>
            <w:pPr>
              <w:spacing w:after="0"/>
            </w:pPr>
            <w:r>
              <w:rPr>
                <w:rFonts w:ascii="Arial" w:hAnsi="Arial"/>
                <w:b w:val="0"/>
                <w:sz w:val="17"/>
              </w:rPr>
              <w:t>Submission FID / MiFID</w:t>
            </w:r>
          </w:p>
        </w:tc>
        <w:tc>
          <w:tcPr>
            <w:tcW w:type="dxa" w:w="4968"/>
          </w:tcPr>
          <w:p>
            <w:pPr>
              <w:spacing w:after="0"/>
            </w:pPr>
            <w:r>
              <w:rPr>
                <w:rFonts w:ascii="Arial" w:hAnsi="Arial"/>
                <w:b w:val="0"/>
                <w:sz w:val="17"/>
              </w:rPr>
              <w:t>96.886 / 0.4097</w:t>
            </w:r>
          </w:p>
        </w:tc>
      </w:tr>
      <w:tr>
        <w:tc>
          <w:tcPr>
            <w:tcW w:type="dxa" w:w="4968"/>
          </w:tcPr>
          <w:p>
            <w:pPr>
              <w:spacing w:after="0"/>
            </w:pPr>
            <w:r>
              <w:rPr>
                <w:rFonts w:ascii="Arial" w:hAnsi="Arial"/>
                <w:b w:val="0"/>
                <w:sz w:val="17"/>
              </w:rPr>
              <w:t>Human audit and Kaggle rank</w:t>
            </w:r>
          </w:p>
        </w:tc>
        <w:tc>
          <w:tcPr>
            <w:tcW w:type="dxa" w:w="4968"/>
          </w:tcPr>
          <w:p>
            <w:pPr>
              <w:spacing w:after="0"/>
            </w:pPr>
            <w:r>
              <w:rPr>
                <w:rFonts w:ascii="Arial" w:hAnsi="Arial"/>
                <w:b w:val="0"/>
                <w:sz w:val="17"/>
              </w:rPr>
              <w:t>Pending</w:t>
            </w:r>
          </w:p>
        </w:tc>
      </w:tr>
    </w:tbl>
    <w:p>
      <w:pPr>
        <w:jc w:val="center"/>
      </w:pPr>
      <w:r>
        <w:drawing>
          <wp:inline xmlns:a="http://schemas.openxmlformats.org/drawingml/2006/main" xmlns:pic="http://schemas.openxmlformats.org/drawingml/2006/picture">
            <wp:extent cx="5760720" cy="2880360"/>
            <wp:docPr id="7" name="Picture 7"/>
            <wp:cNvGraphicFramePr>
              <a:graphicFrameLocks noChangeAspect="1"/>
            </wp:cNvGraphicFramePr>
            <a:graphic>
              <a:graphicData uri="http://schemas.openxmlformats.org/drawingml/2006/picture">
                <pic:pic>
                  <pic:nvPicPr>
                    <pic:cNvPr id="0" name="loss_curves.png"/>
                    <pic:cNvPicPr/>
                  </pic:nvPicPr>
                  <pic:blipFill>
                    <a:blip r:embed="rId16"/>
                    <a:stretch>
                      <a:fillRect/>
                    </a:stretch>
                  </pic:blipFill>
                  <pic:spPr>
                    <a:xfrm>
                      <a:off x="0" y="0"/>
                      <a:ext cx="5760720" cy="2880360"/>
                    </a:xfrm>
                    <a:prstGeom prst="rect"/>
                  </pic:spPr>
                </pic:pic>
              </a:graphicData>
            </a:graphic>
          </wp:inline>
        </w:drawing>
      </w:r>
    </w:p>
    <w:p>
      <w:pPr>
        <w:jc w:val="center"/>
      </w:pPr>
      <w:r>
        <w:rPr>
          <w:i/>
          <w:sz w:val="16"/>
        </w:rPr>
        <w:t>Figure 7. CycleGAN loss curves for the final recorded run.</w:t>
      </w:r>
    </w:p>
    <w:p>
      <w:pPr>
        <w:jc w:val="center"/>
      </w:pPr>
      <w:r>
        <w:drawing>
          <wp:inline xmlns:a="http://schemas.openxmlformats.org/drawingml/2006/main" xmlns:pic="http://schemas.openxmlformats.org/drawingml/2006/picture">
            <wp:extent cx="5760720" cy="1571105"/>
            <wp:docPr id="8" name="Picture 8"/>
            <wp:cNvGraphicFramePr>
              <a:graphicFrameLocks noChangeAspect="1"/>
            </wp:cNvGraphicFramePr>
            <a:graphic>
              <a:graphicData uri="http://schemas.openxmlformats.org/drawingml/2006/picture">
                <pic:pic>
                  <pic:nvPicPr>
                    <pic:cNvPr id="0" name="translations_A2B.jpg"/>
                    <pic:cNvPicPr/>
                  </pic:nvPicPr>
                  <pic:blipFill>
                    <a:blip r:embed="rId17"/>
                    <a:stretch>
                      <a:fillRect/>
                    </a:stretch>
                  </pic:blipFill>
                  <pic:spPr>
                    <a:xfrm>
                      <a:off x="0" y="0"/>
                      <a:ext cx="5760720" cy="1571105"/>
                    </a:xfrm>
                    <a:prstGeom prst="rect"/>
                  </pic:spPr>
                </pic:pic>
              </a:graphicData>
            </a:graphic>
          </wp:inline>
        </w:drawing>
      </w:r>
    </w:p>
    <w:p>
      <w:pPr>
        <w:jc w:val="center"/>
      </w:pPr>
      <w:r>
        <w:rPr>
          <w:i/>
          <w:sz w:val="16"/>
        </w:rPr>
        <w:t>Figure 8. Example A→B translations.</w:t>
      </w:r>
    </w:p>
    <w:p>
      <w:pPr>
        <w:jc w:val="center"/>
      </w:pPr>
      <w:r>
        <w:drawing>
          <wp:inline xmlns:a="http://schemas.openxmlformats.org/drawingml/2006/main" xmlns:pic="http://schemas.openxmlformats.org/drawingml/2006/picture">
            <wp:extent cx="5760720" cy="1571105"/>
            <wp:docPr id="9" name="Picture 9"/>
            <wp:cNvGraphicFramePr>
              <a:graphicFrameLocks noChangeAspect="1"/>
            </wp:cNvGraphicFramePr>
            <a:graphic>
              <a:graphicData uri="http://schemas.openxmlformats.org/drawingml/2006/picture">
                <pic:pic>
                  <pic:nvPicPr>
                    <pic:cNvPr id="0" name="translations_B2A.jpg"/>
                    <pic:cNvPicPr/>
                  </pic:nvPicPr>
                  <pic:blipFill>
                    <a:blip r:embed="rId18"/>
                    <a:stretch>
                      <a:fillRect/>
                    </a:stretch>
                  </pic:blipFill>
                  <pic:spPr>
                    <a:xfrm>
                      <a:off x="0" y="0"/>
                      <a:ext cx="5760720" cy="1571105"/>
                    </a:xfrm>
                    <a:prstGeom prst="rect"/>
                  </pic:spPr>
                </pic:pic>
              </a:graphicData>
            </a:graphic>
          </wp:inline>
        </w:drawing>
      </w:r>
    </w:p>
    <w:p>
      <w:pPr>
        <w:jc w:val="center"/>
      </w:pPr>
      <w:r>
        <w:rPr>
          <w:i/>
          <w:sz w:val="16"/>
        </w:rPr>
        <w:t>Figure 9. Example B→A translations.</w:t>
      </w:r>
    </w:p>
    <w:p>
      <w:pPr>
        <w:pStyle w:val="Heading2"/>
      </w:pPr>
      <w:r>
        <w:t>Task 3 interpretation and failure analysis</w:t>
      </w:r>
    </w:p>
    <w:p>
      <w:pPr>
        <w:pStyle w:val="ListBullet"/>
        <w:spacing w:after="100"/>
      </w:pPr>
      <w:r>
        <w:rPr>
          <w:rFonts w:ascii="Arial" w:hAnsi="Arial"/>
          <w:b w:val="0"/>
          <w:sz w:val="20"/>
        </w:rPr>
        <w:t>A→B has better FID, precision, and content cosine, while B→A has stronger recall and coverage. This indicates an asymmetry between fidelity and diversity across directions.</w:t>
      </w:r>
    </w:p>
    <w:p>
      <w:pPr>
        <w:pStyle w:val="ListBullet"/>
        <w:spacing w:after="100"/>
      </w:pPr>
      <w:r>
        <w:rPr>
          <w:rFonts w:ascii="Arial" w:hAnsi="Arial"/>
          <w:b w:val="0"/>
          <w:sz w:val="20"/>
        </w:rPr>
        <w:t>Cycle checks are strong for own-domain reconstruction (approximately 0.034–0.045 L1) but worse for translated/reconstructed mismatch cases, indicating residual style/content distortion.</w:t>
      </w:r>
    </w:p>
    <w:p>
      <w:pPr>
        <w:pStyle w:val="ListBullet"/>
        <w:spacing w:after="100"/>
      </w:pPr>
      <w:r>
        <w:rPr>
          <w:rFonts w:ascii="Arial" w:hAnsi="Arial"/>
          <w:b w:val="0"/>
          <w:sz w:val="20"/>
        </w:rPr>
        <w:t>The recorded run is numerically stable, but human audit and Kaggle public/private rank remain pending and should be added before final submission.</w:t>
      </w:r>
    </w:p>
    <w:p>
      <w:pPr>
        <w:pStyle w:val="Heading1"/>
      </w:pPr>
      <w:r>
        <w:t>4. Reproducibility and implementation evidence</w:t>
      </w:r>
    </w:p>
    <w:p>
      <w:pPr>
        <w:spacing w:after="100"/>
      </w:pPr>
      <w:r>
        <w:rPr>
          <w:rFonts w:ascii="Arial" w:hAnsi="Arial"/>
          <w:b w:val="0"/>
          <w:sz w:val="20"/>
        </w:rPr>
        <w:t>The repository uses task-specific notebooks and source paths under src/ or the member task directories, with root-level reproducibility/manifests and reproducibility/raw_logs. The manifests record the environment and requirements for Anushka’s runs. The raw logs provide execution evidence, while output folders contain metrics, plots, checkpoints, and generated samples. A fresh evaluator should begin at the root README, then follow each task README and the linked manifest/log paths.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Required evidence</w:t>
            </w:r>
          </w:p>
        </w:tc>
        <w:tc>
          <w:tcPr>
            <w:tcW w:type="dxa" w:w="4968"/>
            <w:shd w:fill="1F4E79"/>
            <w:vAlign w:val="center"/>
          </w:tcPr>
          <w:p>
            <w:pPr>
              <w:spacing w:after="0"/>
            </w:pPr>
            <w:r>
              <w:rPr>
                <w:rFonts w:ascii="Arial" w:hAnsi="Arial"/>
                <w:b/>
                <w:color w:val="FFFFFF"/>
                <w:sz w:val="17"/>
              </w:rPr>
              <w:t>Status for Anushka</w:t>
            </w:r>
          </w:p>
        </w:tc>
      </w:tr>
      <w:tr>
        <w:tc>
          <w:tcPr>
            <w:tcW w:type="dxa" w:w="4968"/>
          </w:tcPr>
          <w:p>
            <w:pPr>
              <w:spacing w:after="0"/>
            </w:pPr>
            <w:r>
              <w:rPr>
                <w:rFonts w:ascii="Arial" w:hAnsi="Arial"/>
                <w:b w:val="0"/>
                <w:sz w:val="17"/>
              </w:rPr>
              <w:t>Notebook/source code</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Configuration files</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Checkpoints</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Metrics reports and plots</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Root reproducibility manifests</w:t>
            </w:r>
          </w:p>
        </w:tc>
        <w:tc>
          <w:tcPr>
            <w:tcW w:type="dxa" w:w="4968"/>
          </w:tcPr>
          <w:p>
            <w:pPr>
              <w:spacing w:after="0"/>
            </w:pPr>
            <w:r>
              <w:rPr>
                <w:rFonts w:ascii="Arial" w:hAnsi="Arial"/>
                <w:b w:val="0"/>
                <w:sz w:val="17"/>
              </w:rPr>
              <w:t>Present</w:t>
            </w:r>
          </w:p>
        </w:tc>
      </w:tr>
      <w:tr>
        <w:tc>
          <w:tcPr>
            <w:tcW w:type="dxa" w:w="4968"/>
          </w:tcPr>
          <w:p>
            <w:pPr>
              <w:spacing w:after="0"/>
            </w:pPr>
            <w:r>
              <w:rPr>
                <w:rFonts w:ascii="Arial" w:hAnsi="Arial"/>
                <w:b w:val="0"/>
                <w:sz w:val="17"/>
              </w:rPr>
              <w:t>Raw execution logs</w:t>
            </w:r>
          </w:p>
        </w:tc>
        <w:tc>
          <w:tcPr>
            <w:tcW w:type="dxa" w:w="4968"/>
          </w:tcPr>
          <w:p>
            <w:pPr>
              <w:spacing w:after="0"/>
            </w:pPr>
            <w:r>
              <w:rPr>
                <w:rFonts w:ascii="Arial" w:hAnsi="Arial"/>
                <w:b w:val="0"/>
                <w:sz w:val="17"/>
              </w:rPr>
              <w:t>Present</w:t>
            </w:r>
          </w:p>
        </w:tc>
      </w:tr>
      <w:tr>
        <w:tc>
          <w:tcPr>
            <w:tcW w:type="dxa" w:w="4968"/>
          </w:tcPr>
          <w:p>
            <w:pPr>
              <w:spacing w:after="0"/>
            </w:pPr>
            <w:r>
              <w:rPr>
                <w:rFonts w:ascii="Arial" w:hAnsi="Arial"/>
                <w:b w:val="0"/>
                <w:sz w:val="17"/>
              </w:rPr>
              <w:t>Task 2 20-row review template</w:t>
            </w:r>
          </w:p>
        </w:tc>
        <w:tc>
          <w:tcPr>
            <w:tcW w:type="dxa" w:w="4968"/>
          </w:tcPr>
          <w:p>
            <w:pPr>
              <w:spacing w:after="0"/>
            </w:pPr>
            <w:r>
              <w:rPr>
                <w:rFonts w:ascii="Arial" w:hAnsi="Arial"/>
                <w:b w:val="0"/>
                <w:sz w:val="17"/>
              </w:rPr>
              <w:t>Present; manual annotations pending</w:t>
            </w:r>
          </w:p>
        </w:tc>
      </w:tr>
      <w:tr>
        <w:tc>
          <w:tcPr>
            <w:tcW w:type="dxa" w:w="4968"/>
          </w:tcPr>
          <w:p>
            <w:pPr>
              <w:spacing w:after="0"/>
            </w:pPr>
            <w:r>
              <w:rPr>
                <w:rFonts w:ascii="Arial" w:hAnsi="Arial"/>
                <w:b w:val="0"/>
                <w:sz w:val="17"/>
              </w:rPr>
              <w:t>Human audit/Kaggle rank for Task 3</w:t>
            </w:r>
          </w:p>
        </w:tc>
        <w:tc>
          <w:tcPr>
            <w:tcW w:type="dxa" w:w="4968"/>
          </w:tcPr>
          <w:p>
            <w:pPr>
              <w:spacing w:after="0"/>
            </w:pPr>
            <w:r>
              <w:rPr>
                <w:rFonts w:ascii="Arial" w:hAnsi="Arial"/>
                <w:b w:val="0"/>
                <w:sz w:val="17"/>
              </w:rPr>
              <w:t>Pending</w:t>
            </w:r>
          </w:p>
        </w:tc>
      </w:tr>
    </w:tbl>
    <w:p>
      <w:pPr>
        <w:pStyle w:val="Heading1"/>
      </w:pPr>
      <w:r>
        <w:t>5. Ownership statement</w:t>
      </w:r>
    </w:p>
    <w:p>
      <w:pPr>
        <w:spacing w:after="100"/>
      </w:pPr>
      <w:r>
        <w:rPr>
          <w:rFonts w:ascii="Arial" w:hAnsi="Arial"/>
          <w:b w:val="0"/>
          <w:sz w:val="20"/>
        </w:rPr>
        <w:t>Anushka Rajesh Khadatkar: implementation, execution, metrics, plots, checkpoints, reproducibility manifests/logs, and analysis documented in this report for Tasks 1–3. Nikhil Khaneja: intentionally blank in this report pending the partner’s independently completed notebooks, manifests, logs, results, and failure analyses. No Nikhil result is used in a comparison or attributed to him.</w:t>
      </w:r>
    </w:p>
    <w:p>
      <w:pPr>
        <w:pStyle w:val="Heading1"/>
      </w:pPr>
      <w:r>
        <w:t>6. Submission checklist</w:t>
      </w:r>
    </w:p>
    <w:p>
      <w:pPr>
        <w:pStyle w:val="ListBullet"/>
        <w:spacing w:after="100"/>
      </w:pPr>
      <w:r>
        <w:rPr>
          <w:rFonts w:ascii="Arial" w:hAnsi="Arial"/>
          <w:b w:val="0"/>
          <w:sz w:val="20"/>
        </w:rPr>
        <w:t>Add this report to the repository under report/ and link it from the root README.</w:t>
      </w:r>
    </w:p>
    <w:p>
      <w:pPr>
        <w:pStyle w:val="ListBullet"/>
        <w:spacing w:after="100"/>
      </w:pPr>
      <w:r>
        <w:rPr>
          <w:rFonts w:ascii="Arial" w:hAnsi="Arial"/>
          <w:b w:val="0"/>
          <w:sz w:val="20"/>
        </w:rPr>
        <w:t>Verify the repository URL and Team Pair 42 identifier before submission.</w:t>
      </w:r>
    </w:p>
    <w:p>
      <w:pPr>
        <w:pStyle w:val="ListBullet"/>
        <w:spacing w:after="100"/>
      </w:pPr>
      <w:r>
        <w:rPr>
          <w:rFonts w:ascii="Arial" w:hAnsi="Arial"/>
          <w:b w:val="0"/>
          <w:sz w:val="20"/>
        </w:rPr>
        <w:t>Complete and commit the 20 manual Task 2 error annotations; record the testable fix and rerun evidence.</w:t>
      </w:r>
    </w:p>
    <w:p>
      <w:pPr>
        <w:pStyle w:val="ListBullet"/>
        <w:spacing w:after="100"/>
      </w:pPr>
      <w:r>
        <w:rPr>
          <w:rFonts w:ascii="Arial" w:hAnsi="Arial"/>
          <w:b w:val="0"/>
          <w:sz w:val="20"/>
        </w:rPr>
        <w:t>Complete the Task 3 human audit and add Kaggle public/private scores and rank when available.</w:t>
      </w:r>
    </w:p>
    <w:p>
      <w:pPr>
        <w:pStyle w:val="ListBullet"/>
        <w:spacing w:after="100"/>
      </w:pPr>
      <w:r>
        <w:rPr>
          <w:rFonts w:ascii="Arial" w:hAnsi="Arial"/>
          <w:b w:val="0"/>
          <w:sz w:val="20"/>
        </w:rPr>
        <w:t>Add Nikhil’s independent artifacts only when they are actually completed; keep placeholders clearly marked rather than copying Anushka’s results.</w:t>
      </w:r>
    </w:p>
    <w:p>
      <w:pPr>
        <w:pStyle w:val="ListBullet"/>
        <w:spacing w:after="100"/>
      </w:pPr>
      <w:r>
        <w:rPr>
          <w:rFonts w:ascii="Arial" w:hAnsi="Arial"/>
          <w:b w:val="0"/>
          <w:sz w:val="20"/>
        </w:rPr>
        <w:t>Retain manifests, requirements, raw logs, checkpoints, metrics, plots, and notebooks so the reported numbers can be reproduced.</w:t>
      </w:r>
    </w:p>
    <w:p>
      <w:pPr>
        <w:pStyle w:val="Heading1"/>
      </w:pPr>
      <w:r>
        <w:t>Appendix A — source paths</w:t>
      </w:r>
    </w:p>
    <w:p>
      <w:pPr>
        <w:pStyle w:val="ListBullet"/>
        <w:spacing w:after="100"/>
      </w:pPr>
      <w:r>
        <w:rPr>
          <w:rFonts w:ascii="Arial" w:hAnsi="Arial"/>
          <w:b w:val="0"/>
          <w:sz w:val="20"/>
        </w:rPr>
        <w:t>task1_llm/member_anushka/src/Part1_LLM.ipynb</w:t>
      </w:r>
    </w:p>
    <w:p>
      <w:pPr>
        <w:pStyle w:val="ListBullet"/>
        <w:spacing w:after="100"/>
      </w:pPr>
      <w:r>
        <w:rPr>
          <w:rFonts w:ascii="Arial" w:hAnsi="Arial"/>
          <w:b w:val="0"/>
          <w:sz w:val="20"/>
        </w:rPr>
        <w:t>task2_sentiment/member_anushka/src/Part2_MemberA_Yelp_Sentiment.ipynb</w:t>
      </w:r>
    </w:p>
    <w:p>
      <w:pPr>
        <w:pStyle w:val="ListBullet"/>
        <w:spacing w:after="100"/>
      </w:pPr>
      <w:r>
        <w:rPr>
          <w:rFonts w:ascii="Arial" w:hAnsi="Arial"/>
          <w:b w:val="0"/>
          <w:sz w:val="20"/>
        </w:rPr>
        <w:t>task3_gan/member_anushka/src/Part3_CycleGAN.ipynb</w:t>
      </w:r>
    </w:p>
    <w:p>
      <w:pPr>
        <w:pStyle w:val="ListBullet"/>
        <w:spacing w:after="100"/>
      </w:pPr>
      <w:r>
        <w:rPr>
          <w:rFonts w:ascii="Arial" w:hAnsi="Arial"/>
          <w:b w:val="0"/>
          <w:sz w:val="20"/>
        </w:rPr>
        <w:t>reproducibility/manifests/task1_llm_anushka_manifest.json</w:t>
      </w:r>
    </w:p>
    <w:p>
      <w:pPr>
        <w:pStyle w:val="ListBullet"/>
        <w:spacing w:after="100"/>
      </w:pPr>
      <w:r>
        <w:rPr>
          <w:rFonts w:ascii="Arial" w:hAnsi="Arial"/>
          <w:b w:val="0"/>
          <w:sz w:val="20"/>
        </w:rPr>
        <w:t>reproducibility/manifests/task2_sentiment_anushka_manifest.json</w:t>
      </w:r>
    </w:p>
    <w:p>
      <w:pPr>
        <w:pStyle w:val="ListBullet"/>
        <w:spacing w:after="100"/>
      </w:pPr>
      <w:r>
        <w:rPr>
          <w:rFonts w:ascii="Arial" w:hAnsi="Arial"/>
          <w:b w:val="0"/>
          <w:sz w:val="20"/>
        </w:rPr>
        <w:t>reproducibility/manifests/task3_gan_anushka_manifest.json</w:t>
      </w:r>
    </w:p>
    <w:p>
      <w:pPr>
        <w:pStyle w:val="ListBullet"/>
        <w:spacing w:after="100"/>
      </w:pPr>
      <w:r>
        <w:rPr>
          <w:rFonts w:ascii="Arial" w:hAnsi="Arial"/>
          <w:b w:val="0"/>
          <w:sz w:val="20"/>
        </w:rPr>
        <w:t>reproducibility/raw_logs/task1_llm_anushka/</w:t>
      </w:r>
    </w:p>
    <w:p>
      <w:pPr>
        <w:pStyle w:val="ListBullet"/>
        <w:spacing w:after="100"/>
      </w:pPr>
      <w:r>
        <w:rPr>
          <w:rFonts w:ascii="Arial" w:hAnsi="Arial"/>
          <w:b w:val="0"/>
          <w:sz w:val="20"/>
        </w:rPr>
        <w:t>reproducibility/raw_logs/task2_sentiment_anushka/</w:t>
      </w:r>
    </w:p>
    <w:p>
      <w:pPr>
        <w:pStyle w:val="ListBullet"/>
        <w:spacing w:after="100"/>
      </w:pPr>
      <w:r>
        <w:rPr>
          <w:rFonts w:ascii="Arial" w:hAnsi="Arial"/>
          <w:b w:val="0"/>
          <w:sz w:val="20"/>
        </w:rPr>
        <w:t>reproducibility/raw_logs/task3_gan_anushka/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ikhil-Khaneja/llm-sentiment-cyclegan-lab"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