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B484" w14:textId="10D324F6" w:rsidR="00EB68F9" w:rsidRPr="00EE5E20" w:rsidRDefault="00EE5E20" w:rsidP="00EE5E20">
      <w:pPr>
        <w:spacing w:before="240"/>
        <w:jc w:val="center"/>
        <w:rPr>
          <w:b/>
          <w:bCs/>
        </w:rPr>
      </w:pPr>
      <w:r w:rsidRPr="00EE5E20">
        <w:rPr>
          <w:b/>
          <w:bCs/>
        </w:rPr>
        <w:t xml:space="preserve">IBM </w:t>
      </w:r>
      <w:r w:rsidR="00294F14">
        <w:rPr>
          <w:b/>
          <w:bCs/>
        </w:rPr>
        <w:t>Unsupervised Learning – NIPS Conference Papers Clustering Projects</w:t>
      </w:r>
    </w:p>
    <w:p w14:paraId="16DDF227" w14:textId="23592572" w:rsidR="004F57A5" w:rsidRDefault="005A1A69" w:rsidP="00DC4BDA">
      <w:pPr>
        <w:spacing w:before="240"/>
        <w:jc w:val="both"/>
        <w:sectPr w:rsidR="004F57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This study looks into </w:t>
      </w:r>
      <w:r w:rsidR="0030579A">
        <w:t xml:space="preserve">using </w:t>
      </w:r>
      <w:r w:rsidR="00294F14">
        <w:t>clustering techniques in order to cluster words that are use</w:t>
      </w:r>
      <w:r w:rsidR="000F7876">
        <w:t>d</w:t>
      </w:r>
      <w:r w:rsidR="00294F14">
        <w:t xml:space="preserve"> in similar papers</w:t>
      </w:r>
      <w:r w:rsidR="004F57A5">
        <w:t>.</w:t>
      </w:r>
      <w:r w:rsidR="0089592C">
        <w:t xml:space="preserve"> Specifically, </w:t>
      </w:r>
      <w:proofErr w:type="spellStart"/>
      <w:r w:rsidR="0089592C">
        <w:t>Kmeans</w:t>
      </w:r>
      <w:proofErr w:type="spellEnd"/>
      <w:r w:rsidR="0089592C">
        <w:t>(++) clustering, hierarchical agg</w:t>
      </w:r>
      <w:r w:rsidR="007C1674">
        <w:t>l</w:t>
      </w:r>
      <w:r w:rsidR="0089592C">
        <w:t>omerative clustering and DBSCAN are used in an effort to group similar words within the dataset using the  papers they occur in  NIPS</w:t>
      </w:r>
      <w:r w:rsidR="007C1674">
        <w:t>.</w:t>
      </w:r>
    </w:p>
    <w:p w14:paraId="615D9A50" w14:textId="28062578" w:rsidR="005A1A69" w:rsidRDefault="00821127" w:rsidP="00A33232">
      <w:pPr>
        <w:spacing w:after="0"/>
        <w:jc w:val="both"/>
        <w:rPr>
          <w:b/>
          <w:bCs/>
        </w:rPr>
      </w:pPr>
      <w:r w:rsidRPr="00821127">
        <w:rPr>
          <w:b/>
          <w:bCs/>
        </w:rPr>
        <w:t xml:space="preserve">1 </w:t>
      </w:r>
      <w:r w:rsidR="005A1A69" w:rsidRPr="00821127">
        <w:rPr>
          <w:b/>
          <w:bCs/>
        </w:rPr>
        <w:t>Introduction</w:t>
      </w:r>
    </w:p>
    <w:p w14:paraId="0ED838F3" w14:textId="77777777" w:rsidR="0089592C" w:rsidRPr="00821127" w:rsidRDefault="0089592C" w:rsidP="00A33232">
      <w:pPr>
        <w:spacing w:after="0"/>
        <w:jc w:val="both"/>
        <w:rPr>
          <w:b/>
          <w:bCs/>
        </w:rPr>
      </w:pPr>
    </w:p>
    <w:p w14:paraId="56553B61" w14:textId="7E196B74" w:rsidR="0030579A" w:rsidRDefault="00B97543" w:rsidP="00A33232">
      <w:pPr>
        <w:spacing w:after="0"/>
        <w:jc w:val="both"/>
      </w:pPr>
      <w:r>
        <w:t xml:space="preserve">This dataset can be accessed at </w:t>
      </w:r>
      <w:hyperlink r:id="rId6" w:history="1">
        <w:r w:rsidRPr="00B55F40">
          <w:rPr>
            <w:rStyle w:val="Hyperlink"/>
          </w:rPr>
          <w:t>https://archive.ics.uci.edu/</w:t>
        </w:r>
        <w:r w:rsidRPr="00B55F40">
          <w:rPr>
            <w:rStyle w:val="Hyperlink"/>
          </w:rPr>
          <w:t>m</w:t>
        </w:r>
        <w:r w:rsidRPr="00B55F40">
          <w:rPr>
            <w:rStyle w:val="Hyperlink"/>
          </w:rPr>
          <w:t>l/datasets/NIPS+Conference+Papers+1987-2015</w:t>
        </w:r>
      </w:hyperlink>
      <w:r>
        <w:t xml:space="preserve"> </w:t>
      </w:r>
      <w:r>
        <w:rPr>
          <w:vertAlign w:val="superscript"/>
        </w:rPr>
        <w:t>[1]</w:t>
      </w:r>
      <w:r>
        <w:t xml:space="preserve"> and contains the distribution of words in the full text of the NIPS conference papers published from 1987 to 2015. The data</w:t>
      </w:r>
      <w:r w:rsidR="00825D52">
        <w:t xml:space="preserve"> contains 11463 unique words (words that appeared less than 50 times were not included) and spans over 5811 NIPS conference papers. The number of appearances of a word in a paper is counted.</w:t>
      </w:r>
    </w:p>
    <w:p w14:paraId="303C2DA3" w14:textId="77777777" w:rsidR="00825D52" w:rsidRPr="00B97543" w:rsidRDefault="00825D52" w:rsidP="00A33232">
      <w:pPr>
        <w:spacing w:after="0"/>
        <w:jc w:val="both"/>
      </w:pPr>
    </w:p>
    <w:p w14:paraId="4131FB57" w14:textId="5D0398B8" w:rsidR="005A1A69" w:rsidRDefault="00821127" w:rsidP="00A33232">
      <w:pPr>
        <w:spacing w:after="0"/>
        <w:jc w:val="both"/>
        <w:rPr>
          <w:b/>
          <w:bCs/>
        </w:rPr>
      </w:pPr>
      <w:r w:rsidRPr="00821127">
        <w:rPr>
          <w:b/>
          <w:bCs/>
        </w:rPr>
        <w:t>2 Data Exploration</w:t>
      </w:r>
      <w:r w:rsidR="006232A3">
        <w:rPr>
          <w:b/>
          <w:bCs/>
        </w:rPr>
        <w:t xml:space="preserve"> and Cleaning</w:t>
      </w:r>
    </w:p>
    <w:p w14:paraId="6E069FE3" w14:textId="77777777" w:rsidR="0089592C" w:rsidRDefault="0089592C" w:rsidP="00A33232">
      <w:pPr>
        <w:spacing w:after="0"/>
        <w:jc w:val="both"/>
        <w:rPr>
          <w:b/>
          <w:bCs/>
        </w:rPr>
      </w:pPr>
    </w:p>
    <w:p w14:paraId="66FDC3D8" w14:textId="304F2E41" w:rsidR="000F7876" w:rsidRDefault="00825D52" w:rsidP="00A33232">
      <w:pPr>
        <w:spacing w:after="0"/>
        <w:jc w:val="both"/>
      </w:pPr>
      <w:r>
        <w:t>The dataset was found to have no missing or N/A values and was fully numerical (excluding the labelling of the words).</w:t>
      </w:r>
    </w:p>
    <w:p w14:paraId="0966A619" w14:textId="716151B5" w:rsidR="00825D52" w:rsidRPr="00825D52" w:rsidRDefault="00825D52" w:rsidP="00A33232">
      <w:pPr>
        <w:spacing w:after="0"/>
        <w:jc w:val="both"/>
      </w:pPr>
      <w:r>
        <w:t>The distribution of word counts was found in order to determine whether it was necessary to scale the data – using the distance metric of Euclidean distance, it would only make sense to use the original scaling given all of the papers were around the same length.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</w:tblGrid>
      <w:tr w:rsidR="00825D52" w14:paraId="00616328" w14:textId="77777777" w:rsidTr="00FA489A">
        <w:tc>
          <w:tcPr>
            <w:tcW w:w="4149" w:type="dxa"/>
          </w:tcPr>
          <w:p w14:paraId="67E968AB" w14:textId="4D5C6A77" w:rsidR="00825D52" w:rsidRDefault="00825D52" w:rsidP="00A3323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17F01C0" wp14:editId="6639A5C1">
                  <wp:extent cx="2496709" cy="16796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534" cy="168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D52" w14:paraId="48473296" w14:textId="77777777" w:rsidTr="00FA489A">
        <w:trPr>
          <w:trHeight w:val="121"/>
        </w:trPr>
        <w:tc>
          <w:tcPr>
            <w:tcW w:w="4149" w:type="dxa"/>
          </w:tcPr>
          <w:p w14:paraId="3325B2C0" w14:textId="2E9B5E31" w:rsidR="00825D52" w:rsidRPr="00825D52" w:rsidRDefault="00825D52" w:rsidP="00FA489A">
            <w:pPr>
              <w:jc w:val="center"/>
            </w:pPr>
            <w:r w:rsidRPr="00825D52">
              <w:t>Figure 1</w:t>
            </w:r>
            <w:r>
              <w:t>: Distribution of word counts</w:t>
            </w:r>
          </w:p>
        </w:tc>
      </w:tr>
    </w:tbl>
    <w:p w14:paraId="0792CD80" w14:textId="36F54C49" w:rsidR="00825D52" w:rsidRDefault="00825D52" w:rsidP="00A33232">
      <w:pPr>
        <w:spacing w:after="0"/>
        <w:jc w:val="both"/>
      </w:pPr>
      <w:r w:rsidRPr="00825D52">
        <w:t xml:space="preserve">Given </w:t>
      </w:r>
      <w:r>
        <w:t xml:space="preserve">the wide range of (key) word counts, it became clear that a scaling method was required whereby papers with high quantities of as word would be closer together whereas those with low quantities would keep more of their original geometric distance. </w:t>
      </w:r>
      <w:r w:rsidR="00FA489A">
        <w:t xml:space="preserve">As a result, the data was scaled with a log1p </w:t>
      </w:r>
      <w:r w:rsidR="00FA489A">
        <w:t xml:space="preserve">transformation </w:t>
      </w:r>
      <w:r w:rsidR="00CD124F">
        <w:t xml:space="preserve">for </w:t>
      </w:r>
      <w:proofErr w:type="spellStart"/>
      <w:r w:rsidR="00CD124F">
        <w:t>Kmeans</w:t>
      </w:r>
      <w:proofErr w:type="spellEnd"/>
      <w:r w:rsidR="00CD124F">
        <w:t xml:space="preserve"> clustering </w:t>
      </w:r>
      <w:r w:rsidR="00FA489A">
        <w:t xml:space="preserve">(as </w:t>
      </w:r>
      <w:r w:rsidR="0089592C">
        <w:t>opposed</w:t>
      </w:r>
      <w:r w:rsidR="00FA489A">
        <w:t xml:space="preserve"> to a standard logarithmic transformation due to the large quantity of zero values in the data).</w:t>
      </w:r>
      <w:r w:rsidR="00CD124F">
        <w:t xml:space="preserve"> For the ither clustering methods, instead the distance metric used was cosine distance.</w:t>
      </w:r>
    </w:p>
    <w:p w14:paraId="3924754E" w14:textId="77777777" w:rsidR="00825D52" w:rsidRDefault="00825D52" w:rsidP="00A33232">
      <w:pPr>
        <w:spacing w:after="0"/>
        <w:jc w:val="both"/>
        <w:rPr>
          <w:b/>
          <w:bCs/>
        </w:rPr>
      </w:pPr>
    </w:p>
    <w:p w14:paraId="1F0875C2" w14:textId="2B154B87" w:rsidR="00E06873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="00A33232">
        <w:rPr>
          <w:b/>
          <w:bCs/>
        </w:rPr>
        <w:t xml:space="preserve"> Clustering</w:t>
      </w:r>
      <w:r>
        <w:rPr>
          <w:b/>
          <w:bCs/>
        </w:rPr>
        <w:t xml:space="preserve"> Models</w:t>
      </w:r>
    </w:p>
    <w:p w14:paraId="5AEF8093" w14:textId="0B7B0220" w:rsidR="00A33232" w:rsidRDefault="00A33232" w:rsidP="00A33232">
      <w:pPr>
        <w:spacing w:after="0"/>
        <w:jc w:val="both"/>
        <w:rPr>
          <w:b/>
          <w:bCs/>
        </w:rPr>
      </w:pPr>
      <w:r>
        <w:rPr>
          <w:b/>
          <w:bCs/>
        </w:rPr>
        <w:t xml:space="preserve">4.1 </w:t>
      </w: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 xml:space="preserve"> Clustering</w:t>
      </w:r>
    </w:p>
    <w:p w14:paraId="090D4458" w14:textId="77777777" w:rsidR="0089592C" w:rsidRDefault="0089592C" w:rsidP="00A33232">
      <w:pPr>
        <w:spacing w:after="0"/>
        <w:jc w:val="both"/>
        <w:rPr>
          <w:b/>
          <w:bCs/>
        </w:rPr>
      </w:pPr>
    </w:p>
    <w:p w14:paraId="00BEB9C0" w14:textId="62A6FC30" w:rsidR="000F7876" w:rsidRPr="000F7876" w:rsidRDefault="000F7876" w:rsidP="00A33232">
      <w:pPr>
        <w:spacing w:after="0"/>
        <w:jc w:val="both"/>
      </w:pPr>
      <w:r>
        <w:t xml:space="preserve">In order to determine the best number of clusters to use for the </w:t>
      </w:r>
      <w:proofErr w:type="spellStart"/>
      <w:r>
        <w:t>KMeans</w:t>
      </w:r>
      <w:proofErr w:type="spellEnd"/>
      <w:r>
        <w:t xml:space="preserve"> model, various models were fit with different numbers of clusters and </w:t>
      </w:r>
      <w:r w:rsidR="00485166">
        <w:t>13 clusters was found to be the optimum number</w:t>
      </w:r>
      <w:r w:rsidR="00CD124F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</w:tblGrid>
      <w:tr w:rsidR="00A33232" w14:paraId="7F305B4E" w14:textId="77777777" w:rsidTr="00A0694A">
        <w:tc>
          <w:tcPr>
            <w:tcW w:w="4149" w:type="dxa"/>
          </w:tcPr>
          <w:p w14:paraId="2AB1B9C4" w14:textId="7588AAD7" w:rsidR="00510BB6" w:rsidRDefault="00510BB6" w:rsidP="00A3323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3471479" wp14:editId="6E8E6C5F">
                  <wp:extent cx="2484039" cy="1749399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630" cy="178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232" w14:paraId="148AA9D9" w14:textId="77777777" w:rsidTr="00A0694A">
        <w:tc>
          <w:tcPr>
            <w:tcW w:w="4149" w:type="dxa"/>
          </w:tcPr>
          <w:p w14:paraId="7D2BCDFF" w14:textId="3A9AE098" w:rsidR="00A33232" w:rsidRPr="00B97543" w:rsidRDefault="00B97543" w:rsidP="00B97543">
            <w:pPr>
              <w:jc w:val="center"/>
            </w:pPr>
            <w:r>
              <w:t xml:space="preserve">Figure </w:t>
            </w:r>
            <w:r w:rsidR="00CD124F">
              <w:t>2</w:t>
            </w:r>
            <w:r>
              <w:t>: The elbow point</w:t>
            </w:r>
          </w:p>
        </w:tc>
      </w:tr>
    </w:tbl>
    <w:p w14:paraId="30706377" w14:textId="5F508765" w:rsidR="00A33232" w:rsidRDefault="00A33232" w:rsidP="00A33232">
      <w:pPr>
        <w:spacing w:after="0"/>
        <w:jc w:val="both"/>
        <w:rPr>
          <w:b/>
          <w:bCs/>
        </w:rPr>
      </w:pPr>
    </w:p>
    <w:p w14:paraId="2F670881" w14:textId="58A0B0FA" w:rsidR="008E0EB4" w:rsidRDefault="008E0EB4" w:rsidP="00A33232">
      <w:pPr>
        <w:spacing w:after="0"/>
        <w:jc w:val="both"/>
      </w:pPr>
      <w:r>
        <w:t xml:space="preserve">In this case, the </w:t>
      </w:r>
      <w:proofErr w:type="spellStart"/>
      <w:r>
        <w:t>Kmeans</w:t>
      </w:r>
      <w:proofErr w:type="spellEnd"/>
      <w:r>
        <w:t>++ algorithm was used in order to try and find the optimal solution.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9"/>
      </w:tblGrid>
      <w:tr w:rsidR="00485166" w14:paraId="5EBA1182" w14:textId="77777777" w:rsidTr="0089592C">
        <w:tc>
          <w:tcPr>
            <w:tcW w:w="4159" w:type="dxa"/>
          </w:tcPr>
          <w:p w14:paraId="5924400D" w14:textId="3FF9491E" w:rsidR="00485166" w:rsidRPr="00CD124F" w:rsidRDefault="00485166" w:rsidP="00CD124F">
            <w:pPr>
              <w:jc w:val="center"/>
            </w:pPr>
            <w:r w:rsidRPr="00CD124F">
              <w:rPr>
                <w:noProof/>
              </w:rPr>
              <w:drawing>
                <wp:inline distT="0" distB="0" distL="0" distR="0" wp14:anchorId="5976DCE9" wp14:editId="4005CEC1">
                  <wp:extent cx="2514600" cy="2200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166" w14:paraId="307DD2EF" w14:textId="77777777" w:rsidTr="0089592C">
        <w:tc>
          <w:tcPr>
            <w:tcW w:w="4159" w:type="dxa"/>
          </w:tcPr>
          <w:p w14:paraId="233E84EA" w14:textId="39DCA369" w:rsidR="00485166" w:rsidRPr="00CD124F" w:rsidRDefault="00CD124F" w:rsidP="00CD124F">
            <w:pPr>
              <w:jc w:val="center"/>
            </w:pPr>
            <w:r w:rsidRPr="00CD124F">
              <w:t>Figure 3</w:t>
            </w:r>
            <w:r>
              <w:t xml:space="preserve">: </w:t>
            </w:r>
            <w:proofErr w:type="spellStart"/>
            <w:r>
              <w:t>Kmeans</w:t>
            </w:r>
            <w:proofErr w:type="spellEnd"/>
            <w:r>
              <w:t xml:space="preserve"> clustering example class</w:t>
            </w:r>
          </w:p>
        </w:tc>
      </w:tr>
    </w:tbl>
    <w:p w14:paraId="1FD10E3A" w14:textId="77777777" w:rsidR="00A0694A" w:rsidRDefault="00A0694A" w:rsidP="00A33232">
      <w:pPr>
        <w:spacing w:after="0"/>
        <w:jc w:val="both"/>
      </w:pPr>
    </w:p>
    <w:p w14:paraId="70C479D0" w14:textId="4D53B845" w:rsidR="002826E4" w:rsidRDefault="002826E4" w:rsidP="00A33232">
      <w:pPr>
        <w:spacing w:after="0"/>
        <w:jc w:val="both"/>
      </w:pPr>
      <w:r>
        <w:t xml:space="preserve">It was found that </w:t>
      </w:r>
      <w:proofErr w:type="spellStart"/>
      <w:r w:rsidR="002964EF">
        <w:t>K</w:t>
      </w:r>
      <w:r>
        <w:t>means</w:t>
      </w:r>
      <w:proofErr w:type="spellEnd"/>
      <w:r>
        <w:t xml:space="preserve"> did provide some useful classes of related words though some were less so.</w:t>
      </w:r>
    </w:p>
    <w:p w14:paraId="2E033D4E" w14:textId="77777777" w:rsidR="00A0694A" w:rsidRPr="002826E4" w:rsidRDefault="00A0694A" w:rsidP="00A33232">
      <w:pPr>
        <w:spacing w:after="0"/>
        <w:jc w:val="both"/>
      </w:pPr>
    </w:p>
    <w:p w14:paraId="106E2FA3" w14:textId="53457938" w:rsidR="00F631BD" w:rsidRDefault="00F631BD" w:rsidP="00A33232">
      <w:pPr>
        <w:spacing w:after="0"/>
        <w:jc w:val="both"/>
        <w:rPr>
          <w:b/>
          <w:bCs/>
        </w:rPr>
      </w:pPr>
      <w:r>
        <w:rPr>
          <w:b/>
          <w:bCs/>
        </w:rPr>
        <w:t>4.2 Hierarchical agglomerative clustering</w:t>
      </w:r>
    </w:p>
    <w:p w14:paraId="258409F5" w14:textId="156EA609" w:rsidR="00F631BD" w:rsidRPr="002964EF" w:rsidRDefault="00F631BD" w:rsidP="00A33232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</w:tblGrid>
      <w:tr w:rsidR="008B5EC4" w14:paraId="5C6559F9" w14:textId="77777777" w:rsidTr="00A0694A">
        <w:tc>
          <w:tcPr>
            <w:tcW w:w="4149" w:type="dxa"/>
          </w:tcPr>
          <w:p w14:paraId="3870D9EE" w14:textId="77777777" w:rsidR="008B5EC4" w:rsidRDefault="008B5EC4" w:rsidP="00294DC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611F3EE" wp14:editId="19C7C3E2">
                  <wp:extent cx="1080000" cy="1783467"/>
                  <wp:effectExtent l="0" t="0" r="635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78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B28773" wp14:editId="1F031228">
                  <wp:extent cx="1080000" cy="1298129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29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EC4" w14:paraId="36423C59" w14:textId="77777777" w:rsidTr="00A0694A">
        <w:tc>
          <w:tcPr>
            <w:tcW w:w="4149" w:type="dxa"/>
          </w:tcPr>
          <w:p w14:paraId="37398F7B" w14:textId="075B3F63" w:rsidR="008B5EC4" w:rsidRDefault="008B5EC4" w:rsidP="002964EF">
            <w:pPr>
              <w:jc w:val="center"/>
            </w:pPr>
            <w:r>
              <w:t xml:space="preserve">Figure </w:t>
            </w:r>
            <w:r w:rsidR="002964EF">
              <w:t>4</w:t>
            </w:r>
            <w:r>
              <w:t>: HAC cluster example</w:t>
            </w:r>
          </w:p>
        </w:tc>
      </w:tr>
    </w:tbl>
    <w:p w14:paraId="3353FF2B" w14:textId="77777777" w:rsidR="008B5EC4" w:rsidRDefault="008B5EC4" w:rsidP="00A33232">
      <w:pPr>
        <w:spacing w:after="0"/>
        <w:jc w:val="both"/>
        <w:rPr>
          <w:b/>
          <w:bCs/>
        </w:rPr>
      </w:pPr>
    </w:p>
    <w:p w14:paraId="7B520E7F" w14:textId="439B2F4B" w:rsidR="00F631BD" w:rsidRDefault="00F631BD" w:rsidP="00A33232">
      <w:pPr>
        <w:spacing w:after="0"/>
        <w:jc w:val="both"/>
        <w:rPr>
          <w:b/>
          <w:bCs/>
        </w:rPr>
      </w:pPr>
      <w:r>
        <w:rPr>
          <w:b/>
          <w:bCs/>
        </w:rPr>
        <w:t>4.3 DBSCAN Clustering</w:t>
      </w:r>
    </w:p>
    <w:p w14:paraId="3372376C" w14:textId="77777777" w:rsidR="0089592C" w:rsidRDefault="0089592C" w:rsidP="00A33232">
      <w:pPr>
        <w:spacing w:after="0"/>
        <w:jc w:val="both"/>
        <w:rPr>
          <w:b/>
          <w:bCs/>
        </w:rPr>
      </w:pPr>
    </w:p>
    <w:p w14:paraId="003A73CB" w14:textId="6878F348" w:rsidR="00F631BD" w:rsidRDefault="00F631BD" w:rsidP="00A33232">
      <w:pPr>
        <w:spacing w:after="0"/>
        <w:jc w:val="both"/>
      </w:pPr>
      <w:r>
        <w:t>Density-Based Spatial Clustering of Applications with Noise</w:t>
      </w:r>
      <w:r w:rsidR="002964EF">
        <w:t xml:space="preserve"> was the fastest of the clustering techniques – likely because it is absolute and does not need to iterate as such.</w:t>
      </w:r>
    </w:p>
    <w:p w14:paraId="0319F57D" w14:textId="15EB7835" w:rsidR="002964EF" w:rsidRDefault="002964EF" w:rsidP="00A33232">
      <w:pPr>
        <w:spacing w:after="0"/>
        <w:jc w:val="both"/>
      </w:pPr>
    </w:p>
    <w:p w14:paraId="056F3ACA" w14:textId="15268CD1" w:rsidR="002964EF" w:rsidRDefault="002964EF" w:rsidP="00A33232">
      <w:pPr>
        <w:spacing w:after="0"/>
        <w:jc w:val="both"/>
      </w:pPr>
      <w:r>
        <w:t>However, likely due to the clusters of different densities, 6459 outliers were detected. An example class is shown in Figure</w:t>
      </w:r>
    </w:p>
    <w:p w14:paraId="00D201D8" w14:textId="77777777" w:rsidR="002964EF" w:rsidRPr="00F631BD" w:rsidRDefault="002964EF" w:rsidP="00A33232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</w:tblGrid>
      <w:tr w:rsidR="0069677E" w14:paraId="5C3266FF" w14:textId="77777777" w:rsidTr="00A0694A">
        <w:tc>
          <w:tcPr>
            <w:tcW w:w="4149" w:type="dxa"/>
          </w:tcPr>
          <w:p w14:paraId="71BC3461" w14:textId="252661F8" w:rsidR="0069677E" w:rsidRDefault="0069677E" w:rsidP="00A33232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892E80" wp14:editId="297E0A15">
                  <wp:extent cx="1558106" cy="177800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148" cy="187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77E" w14:paraId="44E334DF" w14:textId="77777777" w:rsidTr="00A0694A">
        <w:tc>
          <w:tcPr>
            <w:tcW w:w="4149" w:type="dxa"/>
          </w:tcPr>
          <w:p w14:paraId="14A624EC" w14:textId="10167ED2" w:rsidR="0069677E" w:rsidRPr="002964EF" w:rsidRDefault="002964EF" w:rsidP="002964EF">
            <w:pPr>
              <w:jc w:val="center"/>
            </w:pPr>
            <w:r w:rsidRPr="002964EF">
              <w:t>Figure 5: DBSCAN cluster example</w:t>
            </w:r>
          </w:p>
        </w:tc>
      </w:tr>
    </w:tbl>
    <w:p w14:paraId="4B9F7334" w14:textId="77777777" w:rsidR="00F631BD" w:rsidRDefault="00F631BD" w:rsidP="00A33232">
      <w:pPr>
        <w:spacing w:after="0"/>
        <w:jc w:val="both"/>
        <w:rPr>
          <w:b/>
          <w:bCs/>
        </w:rPr>
      </w:pPr>
    </w:p>
    <w:p w14:paraId="1668DC2A" w14:textId="65FA6B5F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5 Key Findings</w:t>
      </w:r>
    </w:p>
    <w:p w14:paraId="52F607EF" w14:textId="77777777" w:rsidR="0089592C" w:rsidRDefault="0089592C" w:rsidP="00A33232">
      <w:pPr>
        <w:spacing w:after="0"/>
        <w:jc w:val="both"/>
        <w:rPr>
          <w:b/>
          <w:bCs/>
        </w:rPr>
      </w:pPr>
    </w:p>
    <w:p w14:paraId="695CFB12" w14:textId="5031DAFC" w:rsidR="00A420EB" w:rsidRDefault="00A0694A" w:rsidP="00A33232">
      <w:pPr>
        <w:spacing w:after="0"/>
        <w:jc w:val="both"/>
      </w:pPr>
      <w:r w:rsidRPr="00A0694A">
        <w:t>D</w:t>
      </w:r>
      <w:r>
        <w:t xml:space="preserve">BSCAN was by far the fastest algorithm. However, from a subjective point of view, </w:t>
      </w:r>
      <w:r w:rsidR="00524349">
        <w:t>Hierarchical agglomerative clustering</w:t>
      </w:r>
      <w:r>
        <w:t xml:space="preserve"> appeared to have the best groupings of related </w:t>
      </w:r>
      <w:r>
        <w:t>words. Both of these methods had wide imbalances in the size of the clusters though and perhaps the larger clusters were not of particular usefulness.</w:t>
      </w:r>
    </w:p>
    <w:p w14:paraId="4A02E2A3" w14:textId="77777777" w:rsidR="00A0694A" w:rsidRPr="004D2D32" w:rsidRDefault="00A0694A" w:rsidP="00A33232">
      <w:pPr>
        <w:spacing w:after="0"/>
        <w:jc w:val="both"/>
      </w:pPr>
    </w:p>
    <w:p w14:paraId="08670255" w14:textId="3FC508A5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6 Possible Flaws</w:t>
      </w:r>
    </w:p>
    <w:p w14:paraId="04E976B0" w14:textId="77777777" w:rsidR="0089592C" w:rsidRDefault="0089592C" w:rsidP="00A33232">
      <w:pPr>
        <w:spacing w:after="0"/>
        <w:jc w:val="both"/>
        <w:rPr>
          <w:b/>
          <w:bCs/>
        </w:rPr>
      </w:pPr>
    </w:p>
    <w:p w14:paraId="4F0B47A8" w14:textId="4A022740" w:rsidR="00A0694A" w:rsidRDefault="00A0694A" w:rsidP="00A33232">
      <w:pPr>
        <w:spacing w:after="0"/>
        <w:jc w:val="both"/>
      </w:pPr>
      <w:proofErr w:type="spellStart"/>
      <w:r w:rsidRPr="00A0694A">
        <w:t>Km</w:t>
      </w:r>
      <w:r>
        <w:t>eans</w:t>
      </w:r>
      <w:proofErr w:type="spellEnd"/>
      <w:r>
        <w:t xml:space="preserve"> clustering assumes that the clusters are “spherical” in shape and this is a particular drawback. Additionally, when not using </w:t>
      </w:r>
      <w:r w:rsidR="008E0EB4">
        <w:t>mini batches</w:t>
      </w:r>
      <w:r>
        <w:t xml:space="preserve">, it takes a much longer time. It is also unclear on the best number of clusters to choose, even after </w:t>
      </w:r>
      <w:r w:rsidR="008E0EB4">
        <w:t>evaluating the inertia of the different choices.</w:t>
      </w:r>
    </w:p>
    <w:p w14:paraId="4FA8A66E" w14:textId="3EF21A07" w:rsidR="008E0EB4" w:rsidRDefault="008E0EB4" w:rsidP="00A33232">
      <w:pPr>
        <w:spacing w:after="0"/>
        <w:jc w:val="both"/>
      </w:pPr>
      <w:r>
        <w:t xml:space="preserve">Hierarchical agglomerative clustering appeared to produce the best clusters in our case. However, like </w:t>
      </w:r>
      <w:proofErr w:type="spellStart"/>
      <w:r>
        <w:t>Kmeans</w:t>
      </w:r>
      <w:proofErr w:type="spellEnd"/>
      <w:r>
        <w:t>, it takes quite a long time relatively speaking., especially for larger datasets.</w:t>
      </w:r>
    </w:p>
    <w:p w14:paraId="68DD633F" w14:textId="422F809F" w:rsidR="008E0EB4" w:rsidRDefault="008E0EB4" w:rsidP="00A33232">
      <w:pPr>
        <w:spacing w:after="0"/>
        <w:jc w:val="both"/>
      </w:pPr>
      <w:r>
        <w:t>DBSCAN Clustering, whilst fastest required a number of input parameters and so took a long time to optimise. It also produced a lot of outliers (or in the case of other parameters one large cluster) meaning it was not as useful in this case.</w:t>
      </w:r>
    </w:p>
    <w:p w14:paraId="336637A4" w14:textId="77777777" w:rsidR="008E0EB4" w:rsidRPr="00A0694A" w:rsidRDefault="008E0EB4" w:rsidP="00A33232">
      <w:pPr>
        <w:spacing w:after="0"/>
        <w:jc w:val="both"/>
      </w:pPr>
    </w:p>
    <w:p w14:paraId="2626EEB2" w14:textId="023E4A5F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7 Next Steps</w:t>
      </w:r>
    </w:p>
    <w:p w14:paraId="2AB7BDD5" w14:textId="77777777" w:rsidR="0089592C" w:rsidRDefault="0089592C" w:rsidP="00A33232">
      <w:pPr>
        <w:spacing w:after="0"/>
        <w:jc w:val="both"/>
        <w:rPr>
          <w:b/>
          <w:bCs/>
        </w:rPr>
      </w:pPr>
    </w:p>
    <w:p w14:paraId="617A7A23" w14:textId="67402EE0" w:rsidR="008E0EB4" w:rsidRDefault="008E0EB4" w:rsidP="00A33232">
      <w:pPr>
        <w:spacing w:after="0"/>
        <w:jc w:val="both"/>
      </w:pPr>
      <w:r>
        <w:t>For next steps, one could do the reverse of this analysis and instead use clustering on the papers – finding similar groups of papers.</w:t>
      </w:r>
    </w:p>
    <w:p w14:paraId="3715671B" w14:textId="7D779D03" w:rsidR="008E0EB4" w:rsidRDefault="008E0EB4" w:rsidP="00A33232">
      <w:pPr>
        <w:spacing w:after="0"/>
        <w:jc w:val="both"/>
      </w:pPr>
      <w:r>
        <w:t>Additionally, this clustering of words could be used in the case of word encoding for uses such as neural machine translation.</w:t>
      </w:r>
    </w:p>
    <w:p w14:paraId="4CFDB82D" w14:textId="2B4E2E84" w:rsidR="008E0EB4" w:rsidRDefault="008E0EB4" w:rsidP="00A33232">
      <w:pPr>
        <w:spacing w:after="0"/>
        <w:jc w:val="both"/>
      </w:pPr>
      <w:r>
        <w:t>The dataset is also highly specific</w:t>
      </w:r>
      <w:r w:rsidR="00A54B95">
        <w:t xml:space="preserve"> as all papers are from the same journal. Further steps to take might be to consider papers in alternative fields.</w:t>
      </w:r>
    </w:p>
    <w:p w14:paraId="715B5252" w14:textId="77777777" w:rsidR="00A54B95" w:rsidRPr="008E0EB4" w:rsidRDefault="00A54B95" w:rsidP="00A33232">
      <w:pPr>
        <w:spacing w:after="0"/>
        <w:jc w:val="both"/>
      </w:pPr>
    </w:p>
    <w:p w14:paraId="4F77F9B0" w14:textId="3420624F" w:rsidR="00821127" w:rsidRPr="00593E34" w:rsidRDefault="00821127" w:rsidP="00A33232">
      <w:pPr>
        <w:spacing w:after="0"/>
        <w:jc w:val="both"/>
        <w:rPr>
          <w:b/>
          <w:bCs/>
        </w:rPr>
      </w:pPr>
      <w:r w:rsidRPr="00593E34">
        <w:rPr>
          <w:b/>
          <w:bCs/>
        </w:rPr>
        <w:t>References</w:t>
      </w:r>
    </w:p>
    <w:p w14:paraId="53E69627" w14:textId="1AB61BBD" w:rsidR="005A1A69" w:rsidRDefault="00A54B95" w:rsidP="003A3B60">
      <w:pPr>
        <w:spacing w:after="0"/>
        <w:jc w:val="both"/>
      </w:pPr>
      <w:r>
        <w:t xml:space="preserve">[1] </w:t>
      </w:r>
      <w:r>
        <w:t xml:space="preserve">'Poisson Random Fields for Dynamic Feature Models'. Perrone V., Jenkins P. A., Spano D., </w:t>
      </w:r>
      <w:proofErr w:type="spellStart"/>
      <w:r>
        <w:t>Teh</w:t>
      </w:r>
      <w:proofErr w:type="spellEnd"/>
      <w:r>
        <w:t xml:space="preserve"> Y. W. (2016). </w:t>
      </w:r>
      <w:hyperlink r:id="rId13" w:history="1">
        <w:r>
          <w:rPr>
            <w:rStyle w:val="Hyperlink"/>
          </w:rPr>
          <w:t>[Web Link]</w:t>
        </w:r>
      </w:hyperlink>
      <w:r>
        <w:t xml:space="preserve"> (</w:t>
      </w:r>
      <w:hyperlink r:id="rId14" w:history="1">
        <w:r>
          <w:rPr>
            <w:rStyle w:val="Hyperlink"/>
          </w:rPr>
          <w:t>[Web Link]</w:t>
        </w:r>
      </w:hyperlink>
      <w:r>
        <w:t>).</w:t>
      </w:r>
    </w:p>
    <w:p w14:paraId="5E2F43B9" w14:textId="46748A66" w:rsidR="003A3B60" w:rsidRDefault="003A3B60" w:rsidP="003A3B60">
      <w:pPr>
        <w:spacing w:after="0"/>
        <w:jc w:val="both"/>
      </w:pPr>
    </w:p>
    <w:p w14:paraId="4180F128" w14:textId="77777777" w:rsidR="003A3B60" w:rsidRDefault="003A3B60" w:rsidP="003A3B60">
      <w:pPr>
        <w:spacing w:after="0"/>
        <w:jc w:val="both"/>
      </w:pPr>
    </w:p>
    <w:sectPr w:rsidR="003A3B60" w:rsidSect="005A1A6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5467"/>
    <w:multiLevelType w:val="multilevel"/>
    <w:tmpl w:val="725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86881"/>
    <w:multiLevelType w:val="multilevel"/>
    <w:tmpl w:val="B2F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5E"/>
    <w:rsid w:val="00027FD2"/>
    <w:rsid w:val="00044C8E"/>
    <w:rsid w:val="00045A68"/>
    <w:rsid w:val="00081D38"/>
    <w:rsid w:val="000F638F"/>
    <w:rsid w:val="000F7876"/>
    <w:rsid w:val="00190CB1"/>
    <w:rsid w:val="001C1BFD"/>
    <w:rsid w:val="001E68BA"/>
    <w:rsid w:val="002826E4"/>
    <w:rsid w:val="00294F14"/>
    <w:rsid w:val="002964EF"/>
    <w:rsid w:val="0030579A"/>
    <w:rsid w:val="0037265F"/>
    <w:rsid w:val="00374FD7"/>
    <w:rsid w:val="003A3B60"/>
    <w:rsid w:val="00485166"/>
    <w:rsid w:val="0049475E"/>
    <w:rsid w:val="004D2D32"/>
    <w:rsid w:val="004F57A5"/>
    <w:rsid w:val="00510BB6"/>
    <w:rsid w:val="00511D43"/>
    <w:rsid w:val="005177D6"/>
    <w:rsid w:val="00524349"/>
    <w:rsid w:val="00584AB7"/>
    <w:rsid w:val="00593E34"/>
    <w:rsid w:val="005948D4"/>
    <w:rsid w:val="005A1A69"/>
    <w:rsid w:val="00606321"/>
    <w:rsid w:val="006232A3"/>
    <w:rsid w:val="00661339"/>
    <w:rsid w:val="0069677E"/>
    <w:rsid w:val="007001EB"/>
    <w:rsid w:val="00734773"/>
    <w:rsid w:val="0079254E"/>
    <w:rsid w:val="007C1674"/>
    <w:rsid w:val="007E0279"/>
    <w:rsid w:val="007F2E14"/>
    <w:rsid w:val="00821127"/>
    <w:rsid w:val="00825D52"/>
    <w:rsid w:val="008357C4"/>
    <w:rsid w:val="008716B5"/>
    <w:rsid w:val="0089592C"/>
    <w:rsid w:val="008B5EC4"/>
    <w:rsid w:val="008E0EB4"/>
    <w:rsid w:val="009D22BA"/>
    <w:rsid w:val="00A0694A"/>
    <w:rsid w:val="00A33232"/>
    <w:rsid w:val="00A37B49"/>
    <w:rsid w:val="00A420EB"/>
    <w:rsid w:val="00A437F0"/>
    <w:rsid w:val="00A54B95"/>
    <w:rsid w:val="00A56022"/>
    <w:rsid w:val="00A622D3"/>
    <w:rsid w:val="00A654F1"/>
    <w:rsid w:val="00AA00B9"/>
    <w:rsid w:val="00AB0BBA"/>
    <w:rsid w:val="00AE782E"/>
    <w:rsid w:val="00B97543"/>
    <w:rsid w:val="00BC77D2"/>
    <w:rsid w:val="00C84D6F"/>
    <w:rsid w:val="00C9564E"/>
    <w:rsid w:val="00CC0BA0"/>
    <w:rsid w:val="00CD070C"/>
    <w:rsid w:val="00CD124F"/>
    <w:rsid w:val="00D21CF8"/>
    <w:rsid w:val="00D33ED8"/>
    <w:rsid w:val="00D407BA"/>
    <w:rsid w:val="00DB3F68"/>
    <w:rsid w:val="00DC4BDA"/>
    <w:rsid w:val="00DF751F"/>
    <w:rsid w:val="00E06873"/>
    <w:rsid w:val="00EA5538"/>
    <w:rsid w:val="00EB68F9"/>
    <w:rsid w:val="00EE5E20"/>
    <w:rsid w:val="00F631BD"/>
    <w:rsid w:val="00F822C0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72A"/>
  <w15:chartTrackingRefBased/>
  <w15:docId w15:val="{72682317-2BAB-44CF-B4E9-0B5C7A5F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1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C0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BA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A00B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3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rXiv:1611.0746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NIPS+Conference+Papers+1987-201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rxiv.org/abs/1611.07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0F61F04-3131-470D-9E0E-3F055337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KHETANI, NIKHIL (UG)</dc:creator>
  <cp:keywords/>
  <dc:description/>
  <cp:lastModifiedBy>KHETANI, NIKHIL (UG)</cp:lastModifiedBy>
  <cp:revision>32</cp:revision>
  <dcterms:created xsi:type="dcterms:W3CDTF">2021-03-31T20:53:00Z</dcterms:created>
  <dcterms:modified xsi:type="dcterms:W3CDTF">2021-04-10T22:05:00Z</dcterms:modified>
</cp:coreProperties>
</file>