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B484" w14:textId="031AB5D8" w:rsidR="00EB68F9" w:rsidRPr="00EE5E20" w:rsidRDefault="00EE5E20" w:rsidP="00EE5E20">
      <w:pPr>
        <w:spacing w:before="240"/>
        <w:jc w:val="center"/>
        <w:rPr>
          <w:b/>
          <w:bCs/>
        </w:rPr>
      </w:pPr>
      <w:r w:rsidRPr="00EE5E20">
        <w:rPr>
          <w:b/>
          <w:bCs/>
        </w:rPr>
        <w:t xml:space="preserve">IBM </w:t>
      </w:r>
      <w:r w:rsidR="00897861">
        <w:rPr>
          <w:b/>
          <w:bCs/>
        </w:rPr>
        <w:t>Specialised Models: Time Series Analysis</w:t>
      </w:r>
      <w:r w:rsidR="000E1D0F">
        <w:rPr>
          <w:b/>
          <w:bCs/>
        </w:rPr>
        <w:t xml:space="preserve"> and Survival Analysis: Tesla Share Price Prediction</w:t>
      </w:r>
    </w:p>
    <w:p w14:paraId="16DDF227" w14:textId="261E0C99" w:rsidR="005A1A69" w:rsidRDefault="00073839" w:rsidP="00DC4BDA">
      <w:pPr>
        <w:spacing w:before="240"/>
        <w:jc w:val="both"/>
        <w:sectPr w:rsidR="005A1A69">
          <w:pgSz w:w="11906" w:h="16838"/>
          <w:pgMar w:top="1440" w:right="1440" w:bottom="1440" w:left="1440" w:header="708" w:footer="708" w:gutter="0"/>
          <w:cols w:space="708"/>
          <w:docGrid w:linePitch="360"/>
        </w:sectPr>
      </w:pPr>
      <w:r>
        <w:t>This project</w:t>
      </w:r>
      <w:r w:rsidR="009B4904">
        <w:t xml:space="preserve"> seeks </w:t>
      </w:r>
      <w:r w:rsidR="00E9434D">
        <w:t>to use</w:t>
      </w:r>
      <w:r w:rsidR="009B4904">
        <w:t xml:space="preserve"> various LSTM models in order to attempt to predict the future share prices of the company Tesla Inc.</w:t>
      </w:r>
      <w:r w:rsidR="00520A07">
        <w:t xml:space="preserve"> Share price prediction is invaluable in the world of finance as it can often determine whether one invests in a company or not. Using recurring neural </w:t>
      </w:r>
      <w:r w:rsidR="00565E21">
        <w:t>networks,</w:t>
      </w:r>
      <w:r w:rsidR="00520A07">
        <w:t xml:space="preserve"> we hope to show how this can be done computationally using deep learning methods.</w:t>
      </w:r>
    </w:p>
    <w:p w14:paraId="42A34E19" w14:textId="0DF7E0C3" w:rsidR="00014F3A" w:rsidRPr="00014F3A" w:rsidRDefault="00821127" w:rsidP="00DC4BDA">
      <w:pPr>
        <w:spacing w:before="240"/>
        <w:jc w:val="both"/>
        <w:rPr>
          <w:b/>
          <w:bCs/>
        </w:rPr>
      </w:pPr>
      <w:r w:rsidRPr="00821127">
        <w:rPr>
          <w:b/>
          <w:bCs/>
        </w:rPr>
        <w:t xml:space="preserve">1 </w:t>
      </w:r>
      <w:r w:rsidR="005A1A69" w:rsidRPr="00821127">
        <w:rPr>
          <w:b/>
          <w:bCs/>
        </w:rPr>
        <w:t>Introduction</w:t>
      </w:r>
    </w:p>
    <w:p w14:paraId="3537757C" w14:textId="4A1A6660" w:rsidR="00821127" w:rsidRDefault="00897861" w:rsidP="00DC4BDA">
      <w:pPr>
        <w:spacing w:before="240"/>
        <w:jc w:val="both"/>
      </w:pPr>
      <w:r>
        <w:t xml:space="preserve">The data used is taken from yahoo finance via </w:t>
      </w:r>
      <w:r w:rsidR="000650C2">
        <w:t>P</w:t>
      </w:r>
      <w:r>
        <w:t>andas</w:t>
      </w:r>
      <w:r w:rsidR="000650C2">
        <w:t xml:space="preserve"> </w:t>
      </w:r>
      <w:r>
        <w:t>web</w:t>
      </w:r>
      <w:r w:rsidR="00E9434D">
        <w:t xml:space="preserve"> </w:t>
      </w:r>
      <w:r>
        <w:t>reader</w:t>
      </w:r>
      <w:r w:rsidR="000E1D0F">
        <w:t xml:space="preserve"> as describes the (adjusted) share price of Tesla </w:t>
      </w:r>
      <w:r w:rsidR="009B4904">
        <w:t>I</w:t>
      </w:r>
      <w:r w:rsidR="000E1D0F">
        <w:t>nc between 2014 and 2020.</w:t>
      </w:r>
    </w:p>
    <w:p w14:paraId="71D653DA" w14:textId="7B3CA7BD" w:rsidR="00556765" w:rsidRDefault="00556765" w:rsidP="00DC4BDA">
      <w:pPr>
        <w:spacing w:before="240"/>
        <w:jc w:val="both"/>
      </w:pPr>
      <w:r>
        <w:t xml:space="preserve">The main objective of this analysis is to </w:t>
      </w:r>
      <w:r w:rsidR="00492038">
        <w:t>determine</w:t>
      </w:r>
      <w:r>
        <w:t xml:space="preserve"> the viability of using LSTM’s </w:t>
      </w:r>
      <w:r w:rsidR="000203EF">
        <w:t>in share price prediction and to accurately predict the short term change in Tesla’s share price.</w:t>
      </w:r>
    </w:p>
    <w:p w14:paraId="179C7111" w14:textId="3BB46C16" w:rsidR="00E9434D" w:rsidRPr="00E9434D" w:rsidRDefault="00E9434D" w:rsidP="00DC4BDA">
      <w:pPr>
        <w:spacing w:before="240"/>
        <w:jc w:val="both"/>
        <w:rPr>
          <w:b/>
          <w:bCs/>
        </w:rPr>
      </w:pPr>
      <w:r w:rsidRPr="00E9434D">
        <w:rPr>
          <w:b/>
          <w:bCs/>
        </w:rPr>
        <w:t>2 Data Exploration and Cleaning</w:t>
      </w:r>
    </w:p>
    <w:p w14:paraId="4CFB32D6" w14:textId="76282787" w:rsidR="00014F3A" w:rsidRDefault="00CF0DB9" w:rsidP="00DC4BDA">
      <w:pPr>
        <w:spacing w:before="240"/>
        <w:jc w:val="both"/>
      </w:pPr>
      <w:r>
        <w:t>Though the data was for the daily adjusted close, due to the nature of financial share price reporting, the data was not periodic as weekend and holiday data was not recorded. In order to fix this, the data was reindexed in order to make it daily periodic and missing data points</w:t>
      </w:r>
      <w:r w:rsidR="00D9274D">
        <w:t>, using linear interpolation to fill missing values.</w:t>
      </w:r>
    </w:p>
    <w:p w14:paraId="7D814BA4" w14:textId="0C348040" w:rsidR="00492038" w:rsidRDefault="00492038" w:rsidP="00DC4BDA">
      <w:pPr>
        <w:spacing w:before="240"/>
        <w:jc w:val="both"/>
      </w:pPr>
      <w:r>
        <w:t>A single timeseries is used showing Tesla’s share price in 10s of USD with the dataset ranging from 2014 to 2020.</w:t>
      </w:r>
      <w:r w:rsidR="007F2D28">
        <w:t xml:space="preserve"> As it is a single timeseries, no other features were included and this series also compromised the target variable – ie future values of the timeseries.</w:t>
      </w:r>
    </w:p>
    <w:p w14:paraId="317A278C" w14:textId="0382A88C" w:rsidR="00556765" w:rsidRDefault="00556765" w:rsidP="00DC4BDA">
      <w:pPr>
        <w:spacing w:before="240"/>
        <w:jc w:val="both"/>
      </w:pPr>
      <w:r>
        <w:t>As the aim was to show that future predictions could be made, the training data was taken from 2014 to 2018 while the testing data was for 2018 to 2020.</w:t>
      </w:r>
    </w:p>
    <w:p w14:paraId="4688BD27" w14:textId="77777777" w:rsidR="007F2D28" w:rsidRDefault="007F2D28" w:rsidP="00DC4BDA">
      <w:pPr>
        <w:spacing w:before="24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9A168A" w14:paraId="4905AD05" w14:textId="77777777" w:rsidTr="009A168A">
        <w:tc>
          <w:tcPr>
            <w:tcW w:w="4149" w:type="dxa"/>
          </w:tcPr>
          <w:p w14:paraId="120E48A5" w14:textId="4E0ABEC6" w:rsidR="009A168A" w:rsidRDefault="009A168A" w:rsidP="009A168A">
            <w:pPr>
              <w:jc w:val="center"/>
            </w:pPr>
            <w:r>
              <w:rPr>
                <w:noProof/>
              </w:rPr>
              <w:drawing>
                <wp:inline distT="0" distB="0" distL="0" distR="0" wp14:anchorId="0D78A9BC" wp14:editId="76CDA4E5">
                  <wp:extent cx="2489200" cy="16776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587" cy="1682600"/>
                          </a:xfrm>
                          <a:prstGeom prst="rect">
                            <a:avLst/>
                          </a:prstGeom>
                          <a:noFill/>
                          <a:ln>
                            <a:noFill/>
                          </a:ln>
                        </pic:spPr>
                      </pic:pic>
                    </a:graphicData>
                  </a:graphic>
                </wp:inline>
              </w:drawing>
            </w:r>
          </w:p>
        </w:tc>
      </w:tr>
      <w:tr w:rsidR="009A168A" w14:paraId="0D002873" w14:textId="77777777" w:rsidTr="009A168A">
        <w:tc>
          <w:tcPr>
            <w:tcW w:w="4149" w:type="dxa"/>
          </w:tcPr>
          <w:p w14:paraId="79CB72CD" w14:textId="3731B136" w:rsidR="009A168A" w:rsidRDefault="009A168A" w:rsidP="009A168A">
            <w:pPr>
              <w:jc w:val="center"/>
            </w:pPr>
            <w:r>
              <w:t>Figure 1: Tesla share price (adjusted) split into a training set (red) and a test set (blue)</w:t>
            </w:r>
          </w:p>
        </w:tc>
      </w:tr>
    </w:tbl>
    <w:p w14:paraId="48298554" w14:textId="77777777" w:rsidR="009A168A" w:rsidRDefault="009A168A" w:rsidP="00DC4BDA">
      <w:pPr>
        <w:spacing w:before="240"/>
        <w:jc w:val="both"/>
      </w:pPr>
    </w:p>
    <w:p w14:paraId="6A5FB300" w14:textId="6CE4D8E9" w:rsidR="00D9274D" w:rsidRDefault="00D9274D" w:rsidP="00DC4BDA">
      <w:pPr>
        <w:spacing w:before="240"/>
        <w:jc w:val="both"/>
      </w:pPr>
      <w:r>
        <w:t xml:space="preserve">In order to fit the data with </w:t>
      </w:r>
      <w:r w:rsidR="00556765">
        <w:t>the recurring neural networks, it was necessary to scale it with a standard scaler.</w:t>
      </w:r>
    </w:p>
    <w:p w14:paraId="59E168F5" w14:textId="2134C3BF" w:rsidR="00D9274D" w:rsidRDefault="004655AB" w:rsidP="00DC4BDA">
      <w:pPr>
        <w:spacing w:before="240"/>
        <w:jc w:val="both"/>
        <w:rPr>
          <w:b/>
          <w:bCs/>
        </w:rPr>
      </w:pPr>
      <w:r w:rsidRPr="004655AB">
        <w:rPr>
          <w:b/>
          <w:bCs/>
        </w:rPr>
        <w:t>3 LSTM Models</w:t>
      </w:r>
    </w:p>
    <w:p w14:paraId="00462AEA" w14:textId="52F504C4" w:rsidR="004655AB" w:rsidRPr="004655AB" w:rsidRDefault="004655AB" w:rsidP="00DC4BDA">
      <w:pPr>
        <w:spacing w:before="240"/>
        <w:jc w:val="both"/>
      </w:pPr>
      <w:r>
        <w:t>For all 3 models, only 10 input steps were used</w:t>
      </w:r>
      <w:r w:rsidR="005F37AB">
        <w:t xml:space="preserve"> and the LSTM layers each had 5 units</w:t>
      </w:r>
      <w:r>
        <w:t>.</w:t>
      </w:r>
      <w:r w:rsidR="009A168A">
        <w:t xml:space="preserve"> To show how the model performed</w:t>
      </w:r>
      <w:r w:rsidR="005F37AB">
        <w:t xml:space="preserve">, the model was run every 100 periods, using the output as input to the next sequence </w:t>
      </w:r>
      <w:r w:rsidR="002071A1">
        <w:t>iteratively for 40 future steps.</w:t>
      </w:r>
    </w:p>
    <w:p w14:paraId="6B3450DF" w14:textId="016E4FEE" w:rsidR="004655AB" w:rsidRDefault="004655AB" w:rsidP="00DC4BDA">
      <w:pPr>
        <w:spacing w:before="240"/>
        <w:jc w:val="both"/>
        <w:rPr>
          <w:b/>
          <w:bCs/>
        </w:rPr>
      </w:pPr>
      <w:r>
        <w:rPr>
          <w:b/>
          <w:bCs/>
        </w:rPr>
        <w:t>3.1 Simple LSTM</w:t>
      </w:r>
    </w:p>
    <w:p w14:paraId="7FFCFEF3" w14:textId="391AE74C" w:rsidR="004655AB" w:rsidRDefault="004655AB" w:rsidP="00DC4BDA">
      <w:pPr>
        <w:spacing w:before="240"/>
        <w:jc w:val="both"/>
      </w:pPr>
      <w:r>
        <w:t>Long short term memory (LSTM) is a type of layer in a recurring neural network that stops the tendency to ‘forget’ earlier information in a sequence.</w:t>
      </w:r>
      <w:r w:rsidR="002071A1">
        <w:t xml:space="preserve"> The predictions from this model can be seen in Figure 2.</w:t>
      </w:r>
    </w:p>
    <w:p w14:paraId="4AAA6F0F" w14:textId="2DACCE5B" w:rsidR="00DE6C1D" w:rsidRDefault="00DE6C1D" w:rsidP="00DC4BDA">
      <w:pPr>
        <w:spacing w:before="240"/>
        <w:jc w:val="both"/>
      </w:pPr>
      <w:r>
        <w:rPr>
          <w:noProof/>
        </w:rPr>
        <w:drawing>
          <wp:inline distT="0" distB="0" distL="0" distR="0" wp14:anchorId="1F14A1B1" wp14:editId="1852F1D7">
            <wp:extent cx="2640965" cy="79883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7988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9A168A" w14:paraId="12BE6E38" w14:textId="77777777" w:rsidTr="00447807">
        <w:tc>
          <w:tcPr>
            <w:tcW w:w="4149" w:type="dxa"/>
          </w:tcPr>
          <w:p w14:paraId="59BBBFEB" w14:textId="11ACB956" w:rsidR="009A168A" w:rsidRDefault="009A168A" w:rsidP="005F37AB">
            <w:pPr>
              <w:jc w:val="center"/>
            </w:pPr>
            <w:r>
              <w:rPr>
                <w:noProof/>
              </w:rPr>
              <w:lastRenderedPageBreak/>
              <w:drawing>
                <wp:inline distT="0" distB="0" distL="0" distR="0" wp14:anchorId="2F17465E" wp14:editId="5A8367ED">
                  <wp:extent cx="2497773" cy="170922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721" cy="1718768"/>
                          </a:xfrm>
                          <a:prstGeom prst="rect">
                            <a:avLst/>
                          </a:prstGeom>
                          <a:noFill/>
                          <a:ln>
                            <a:noFill/>
                          </a:ln>
                        </pic:spPr>
                      </pic:pic>
                    </a:graphicData>
                  </a:graphic>
                </wp:inline>
              </w:drawing>
            </w:r>
          </w:p>
        </w:tc>
      </w:tr>
      <w:tr w:rsidR="009A168A" w14:paraId="75729204" w14:textId="77777777" w:rsidTr="00447807">
        <w:tc>
          <w:tcPr>
            <w:tcW w:w="4149" w:type="dxa"/>
          </w:tcPr>
          <w:p w14:paraId="2E9717A3" w14:textId="37F906BA" w:rsidR="009A168A" w:rsidRDefault="005F37AB" w:rsidP="005F37AB">
            <w:pPr>
              <w:jc w:val="center"/>
            </w:pPr>
            <w:r>
              <w:t xml:space="preserve">Figure 2: Predictions from </w:t>
            </w:r>
            <w:r w:rsidR="002071A1">
              <w:t xml:space="preserve">the </w:t>
            </w:r>
            <w:r>
              <w:t>simple LSTM</w:t>
            </w:r>
          </w:p>
        </w:tc>
      </w:tr>
    </w:tbl>
    <w:p w14:paraId="1C2B12CB" w14:textId="0D9F53FB" w:rsidR="009A168A" w:rsidRPr="005F37AB" w:rsidRDefault="005F37AB" w:rsidP="00DC4BDA">
      <w:pPr>
        <w:spacing w:before="240"/>
        <w:jc w:val="both"/>
        <w:rPr>
          <w:b/>
          <w:bCs/>
        </w:rPr>
      </w:pPr>
      <w:r w:rsidRPr="005F37AB">
        <w:rPr>
          <w:b/>
          <w:bCs/>
        </w:rPr>
        <w:t>3.2 Bidirectional LSTM</w:t>
      </w:r>
    </w:p>
    <w:p w14:paraId="5F8C36FC" w14:textId="412FC35E" w:rsidR="009A168A" w:rsidRDefault="005F37AB" w:rsidP="00DC4BDA">
      <w:pPr>
        <w:spacing w:before="240"/>
        <w:jc w:val="both"/>
      </w:pPr>
      <w:r>
        <w:t>It is noted that sometimes by using a bidirectional LSTM layer that outputs may improve results.</w:t>
      </w:r>
      <w:r w:rsidR="002071A1">
        <w:t xml:space="preserve"> Here a single bidirectional layer was used with hyperparameters similar to that used in the previous simple LSTM. The results can be seen in Figure 3.</w:t>
      </w:r>
    </w:p>
    <w:p w14:paraId="6066C796" w14:textId="0EE40155" w:rsidR="00DE6C1D" w:rsidRDefault="00DE6C1D" w:rsidP="00DC4BDA">
      <w:pPr>
        <w:spacing w:before="240"/>
        <w:jc w:val="both"/>
      </w:pPr>
      <w:r>
        <w:rPr>
          <w:noProof/>
        </w:rPr>
        <w:drawing>
          <wp:inline distT="0" distB="0" distL="0" distR="0" wp14:anchorId="5C13C5B6" wp14:editId="00EBA33A">
            <wp:extent cx="2640965" cy="80073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800735"/>
                    </a:xfrm>
                    <a:prstGeom prst="rect">
                      <a:avLst/>
                    </a:prstGeom>
                  </pic:spPr>
                </pic:pic>
              </a:graphicData>
            </a:graphic>
          </wp:inline>
        </w:drawing>
      </w:r>
    </w:p>
    <w:p w14:paraId="4D734019" w14:textId="596EF04C" w:rsidR="00014F3A" w:rsidRDefault="00014F3A" w:rsidP="00DC4BDA">
      <w:pPr>
        <w:spacing w:before="240"/>
        <w:jc w:val="both"/>
      </w:pPr>
    </w:p>
    <w:p w14:paraId="10057F0F" w14:textId="3DE8280F" w:rsidR="00014F3A" w:rsidRDefault="00014F3A" w:rsidP="00DC4BDA">
      <w:pPr>
        <w:spacing w:before="24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tblGrid>
      <w:tr w:rsidR="00B63FC3" w14:paraId="1A3DB530" w14:textId="77777777" w:rsidTr="002071A1">
        <w:tc>
          <w:tcPr>
            <w:tcW w:w="4149" w:type="dxa"/>
          </w:tcPr>
          <w:p w14:paraId="73BFA584" w14:textId="53FCFB90" w:rsidR="00B63FC3" w:rsidRDefault="00B63FC3" w:rsidP="002071A1">
            <w:pPr>
              <w:jc w:val="center"/>
            </w:pPr>
            <w:r>
              <w:rPr>
                <w:noProof/>
              </w:rPr>
              <w:drawing>
                <wp:inline distT="0" distB="0" distL="0" distR="0" wp14:anchorId="5D126DFD" wp14:editId="1ACA0A61">
                  <wp:extent cx="2640965" cy="1809115"/>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809115"/>
                          </a:xfrm>
                          <a:prstGeom prst="rect">
                            <a:avLst/>
                          </a:prstGeom>
                          <a:noFill/>
                          <a:ln>
                            <a:noFill/>
                          </a:ln>
                        </pic:spPr>
                      </pic:pic>
                    </a:graphicData>
                  </a:graphic>
                </wp:inline>
              </w:drawing>
            </w:r>
          </w:p>
        </w:tc>
      </w:tr>
      <w:tr w:rsidR="00B63FC3" w14:paraId="1A4748D2" w14:textId="77777777" w:rsidTr="002071A1">
        <w:tc>
          <w:tcPr>
            <w:tcW w:w="4149" w:type="dxa"/>
          </w:tcPr>
          <w:p w14:paraId="4C5CAC35" w14:textId="5445A38A" w:rsidR="00B63FC3" w:rsidRDefault="002071A1" w:rsidP="002071A1">
            <w:pPr>
              <w:jc w:val="center"/>
            </w:pPr>
            <w:r>
              <w:t xml:space="preserve">Figure 3: Predictions from the </w:t>
            </w:r>
            <w:r w:rsidR="00B63FC3">
              <w:t>Bidirectional</w:t>
            </w:r>
            <w:r>
              <w:t xml:space="preserve"> LSTM</w:t>
            </w:r>
          </w:p>
        </w:tc>
      </w:tr>
    </w:tbl>
    <w:p w14:paraId="49910809" w14:textId="4CE7446C" w:rsidR="009A168A" w:rsidRDefault="002071A1" w:rsidP="00DC4BDA">
      <w:pPr>
        <w:spacing w:before="240"/>
        <w:jc w:val="both"/>
        <w:rPr>
          <w:b/>
          <w:bCs/>
        </w:rPr>
      </w:pPr>
      <w:r>
        <w:rPr>
          <w:b/>
          <w:bCs/>
        </w:rPr>
        <w:t>3.3 Multilayer LSTM</w:t>
      </w:r>
    </w:p>
    <w:p w14:paraId="6DEAC694" w14:textId="62D1179F" w:rsidR="00DE6C1D" w:rsidRDefault="002071A1" w:rsidP="00DC4BDA">
      <w:pPr>
        <w:spacing w:before="240"/>
        <w:jc w:val="both"/>
      </w:pPr>
      <w:r>
        <w:t xml:space="preserve">For more complex series, it is noted that more complex patterns can be modelled using multiple layers within the model – taking the full output from every cell in the first LSTM layer and feeding it into the second. The results </w:t>
      </w:r>
      <w:r>
        <w:t>for our two-layer LSTM model can be seen in Figure 4.</w:t>
      </w:r>
    </w:p>
    <w:p w14:paraId="67E7AB6A" w14:textId="20638B0C" w:rsidR="00DE6C1D" w:rsidRDefault="00DE6C1D" w:rsidP="00DC4BDA">
      <w:pPr>
        <w:spacing w:before="240"/>
        <w:jc w:val="both"/>
        <w:rPr>
          <w:b/>
          <w:bCs/>
        </w:rPr>
      </w:pPr>
      <w:r>
        <w:rPr>
          <w:noProof/>
        </w:rPr>
        <w:drawing>
          <wp:inline distT="0" distB="0" distL="0" distR="0" wp14:anchorId="25D9FD0A" wp14:editId="7381448D">
            <wp:extent cx="2640965" cy="9505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950595"/>
                    </a:xfrm>
                    <a:prstGeom prst="rect">
                      <a:avLst/>
                    </a:prstGeom>
                  </pic:spPr>
                </pic:pic>
              </a:graphicData>
            </a:graphic>
          </wp:inline>
        </w:drawing>
      </w:r>
    </w:p>
    <w:p w14:paraId="78AC0E6A" w14:textId="77777777" w:rsidR="009A168A" w:rsidRPr="004655AB" w:rsidRDefault="009A168A" w:rsidP="009A168A">
      <w:pPr>
        <w:spacing w:before="24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9A168A" w14:paraId="7299F2BA" w14:textId="77777777" w:rsidTr="002071A1">
        <w:tc>
          <w:tcPr>
            <w:tcW w:w="4149" w:type="dxa"/>
          </w:tcPr>
          <w:p w14:paraId="7BB1E48D" w14:textId="77777777" w:rsidR="009A168A" w:rsidRDefault="009A168A" w:rsidP="002071A1">
            <w:pPr>
              <w:jc w:val="center"/>
            </w:pPr>
            <w:r>
              <w:rPr>
                <w:noProof/>
              </w:rPr>
              <w:drawing>
                <wp:inline distT="0" distB="0" distL="0" distR="0" wp14:anchorId="40D8F87F" wp14:editId="52522DEC">
                  <wp:extent cx="2471596" cy="1692499"/>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8246" cy="1703901"/>
                          </a:xfrm>
                          <a:prstGeom prst="rect">
                            <a:avLst/>
                          </a:prstGeom>
                          <a:noFill/>
                          <a:ln>
                            <a:noFill/>
                          </a:ln>
                        </pic:spPr>
                      </pic:pic>
                    </a:graphicData>
                  </a:graphic>
                </wp:inline>
              </w:drawing>
            </w:r>
          </w:p>
        </w:tc>
      </w:tr>
      <w:tr w:rsidR="009A168A" w14:paraId="3656B457" w14:textId="77777777" w:rsidTr="002071A1">
        <w:tc>
          <w:tcPr>
            <w:tcW w:w="4149" w:type="dxa"/>
          </w:tcPr>
          <w:p w14:paraId="1701AD01" w14:textId="2A09A4C2" w:rsidR="009A168A" w:rsidRDefault="002071A1" w:rsidP="002071A1">
            <w:pPr>
              <w:jc w:val="center"/>
            </w:pPr>
            <w:r>
              <w:t>Figure 4: Predictions from the two-layer LSTM</w:t>
            </w:r>
          </w:p>
        </w:tc>
      </w:tr>
    </w:tbl>
    <w:p w14:paraId="37513131" w14:textId="77777777" w:rsidR="009A168A" w:rsidRDefault="009A168A" w:rsidP="009A168A">
      <w:pPr>
        <w:spacing w:before="240"/>
        <w:jc w:val="both"/>
      </w:pPr>
    </w:p>
    <w:p w14:paraId="0E55977A" w14:textId="7C11600B" w:rsidR="00014F3A" w:rsidRPr="004655AB" w:rsidRDefault="004655AB" w:rsidP="00DC4BDA">
      <w:pPr>
        <w:spacing w:before="240"/>
        <w:jc w:val="both"/>
        <w:rPr>
          <w:b/>
          <w:bCs/>
        </w:rPr>
      </w:pPr>
      <w:r w:rsidRPr="004655AB">
        <w:rPr>
          <w:b/>
          <w:bCs/>
        </w:rPr>
        <w:t>4 Key Findings</w:t>
      </w:r>
    </w:p>
    <w:p w14:paraId="5D486946" w14:textId="0D6A1100" w:rsidR="002071A1" w:rsidRDefault="002071A1" w:rsidP="00DC4BDA">
      <w:pPr>
        <w:spacing w:before="240"/>
        <w:jc w:val="both"/>
      </w:pPr>
      <w:r>
        <w:t xml:space="preserve">From the results shown in Figures 2,3 and 4 it is clear </w:t>
      </w:r>
      <w:r w:rsidR="00447807">
        <w:t xml:space="preserve">that the multilayer LSTM and bidirectional LSTM perform much better than the simple LSTM. This is likely due to the complex nature of share prices meaning the more complicated models can better fit underlying patterns. Though the models all performed fairly well for a </w:t>
      </w:r>
      <w:r w:rsidR="00DE6C1D">
        <w:t>40-day</w:t>
      </w:r>
      <w:r w:rsidR="00447807">
        <w:t xml:space="preserve"> prediction, longer predictions were often flawed due to the cumulative nature of the error – an erroneous result will be used as an input to the next iteration of model prediction.</w:t>
      </w:r>
    </w:p>
    <w:p w14:paraId="5339657A" w14:textId="720DFAFA" w:rsidR="004655AB" w:rsidRDefault="004655AB" w:rsidP="00DC4BDA">
      <w:pPr>
        <w:spacing w:before="240"/>
        <w:jc w:val="both"/>
        <w:rPr>
          <w:b/>
          <w:bCs/>
        </w:rPr>
      </w:pPr>
      <w:r w:rsidRPr="004655AB">
        <w:rPr>
          <w:b/>
          <w:bCs/>
        </w:rPr>
        <w:t>5 Possible Flaws</w:t>
      </w:r>
    </w:p>
    <w:p w14:paraId="1D624E92" w14:textId="01476302" w:rsidR="004655AB" w:rsidRPr="00447807" w:rsidRDefault="00447807" w:rsidP="00DC4BDA">
      <w:pPr>
        <w:spacing w:before="240"/>
        <w:jc w:val="both"/>
      </w:pPr>
      <w:r>
        <w:t xml:space="preserve">LSTMs are prone to overfitting, a key concern when modelling our data. Possible ways of countering this include using a validation set to know when to stop training the model. Additionally, due to the large number of parameters of LSTMs, they often need to be trained using GPUs or TPUs and can take much </w:t>
      </w:r>
      <w:r>
        <w:lastRenderedPageBreak/>
        <w:t>longer to train than alternative methods – a key reason for the shorter input sequence that we used.</w:t>
      </w:r>
    </w:p>
    <w:p w14:paraId="71C0CC5D" w14:textId="30CCC02D" w:rsidR="004655AB" w:rsidRPr="004655AB" w:rsidRDefault="00C929C1" w:rsidP="00DC4BDA">
      <w:pPr>
        <w:spacing w:before="240"/>
        <w:jc w:val="both"/>
        <w:rPr>
          <w:b/>
          <w:bCs/>
        </w:rPr>
      </w:pPr>
      <w:r>
        <w:rPr>
          <w:b/>
          <w:bCs/>
        </w:rPr>
        <w:t>6</w:t>
      </w:r>
      <w:r w:rsidR="004655AB">
        <w:rPr>
          <w:b/>
          <w:bCs/>
        </w:rPr>
        <w:t xml:space="preserve"> Next Steps</w:t>
      </w:r>
    </w:p>
    <w:p w14:paraId="04CA3610" w14:textId="19F22394" w:rsidR="00821127" w:rsidRDefault="00447807" w:rsidP="00DC4BDA">
      <w:pPr>
        <w:spacing w:before="240"/>
        <w:jc w:val="both"/>
      </w:pPr>
      <w:r>
        <w:t xml:space="preserve">For future steps, it is interesting to consider using </w:t>
      </w:r>
      <w:r w:rsidR="00520A07">
        <w:t>the percentage growth/difference as oppose to absolute share price to make predictions. Additionally, using longer input sequences may improve the accuracy of our models. By far the most interesting future possibility is that of doing multi-feature prediction – one could combine multiple stocks with various macroeconomic indicators in order to make better predictions for a wider range of stocks.</w:t>
      </w:r>
    </w:p>
    <w:p w14:paraId="53E69627" w14:textId="3B4D67AC" w:rsidR="005A1A69" w:rsidRDefault="005A1A69" w:rsidP="00DC4BDA">
      <w:pPr>
        <w:spacing w:before="240"/>
        <w:jc w:val="both"/>
      </w:pPr>
    </w:p>
    <w:sectPr w:rsidR="005A1A69" w:rsidSect="005A1A6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25467"/>
    <w:multiLevelType w:val="multilevel"/>
    <w:tmpl w:val="725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81"/>
    <w:multiLevelType w:val="multilevel"/>
    <w:tmpl w:val="B2F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E"/>
    <w:rsid w:val="00014F3A"/>
    <w:rsid w:val="000203EF"/>
    <w:rsid w:val="00044C8E"/>
    <w:rsid w:val="000650C2"/>
    <w:rsid w:val="00073839"/>
    <w:rsid w:val="000E1D0F"/>
    <w:rsid w:val="00190CB1"/>
    <w:rsid w:val="001E68BA"/>
    <w:rsid w:val="002071A1"/>
    <w:rsid w:val="0037265F"/>
    <w:rsid w:val="00447807"/>
    <w:rsid w:val="004655AB"/>
    <w:rsid w:val="00492038"/>
    <w:rsid w:val="0049475E"/>
    <w:rsid w:val="005177D6"/>
    <w:rsid w:val="00520A07"/>
    <w:rsid w:val="00556765"/>
    <w:rsid w:val="00565E21"/>
    <w:rsid w:val="005948D4"/>
    <w:rsid w:val="005A1A69"/>
    <w:rsid w:val="005F37AB"/>
    <w:rsid w:val="00606321"/>
    <w:rsid w:val="006232A3"/>
    <w:rsid w:val="0079254E"/>
    <w:rsid w:val="007E6842"/>
    <w:rsid w:val="007F2D28"/>
    <w:rsid w:val="007F2E14"/>
    <w:rsid w:val="00821127"/>
    <w:rsid w:val="00897861"/>
    <w:rsid w:val="009A168A"/>
    <w:rsid w:val="009B4904"/>
    <w:rsid w:val="00A37B49"/>
    <w:rsid w:val="00A437F0"/>
    <w:rsid w:val="00A56022"/>
    <w:rsid w:val="00A622D3"/>
    <w:rsid w:val="00A654F1"/>
    <w:rsid w:val="00AA00B9"/>
    <w:rsid w:val="00AB0BBA"/>
    <w:rsid w:val="00B63FC3"/>
    <w:rsid w:val="00C67D2E"/>
    <w:rsid w:val="00C929C1"/>
    <w:rsid w:val="00C9564E"/>
    <w:rsid w:val="00CC0BA0"/>
    <w:rsid w:val="00CD070C"/>
    <w:rsid w:val="00CF0DB9"/>
    <w:rsid w:val="00D33ED8"/>
    <w:rsid w:val="00D407BA"/>
    <w:rsid w:val="00D9274D"/>
    <w:rsid w:val="00DC4BDA"/>
    <w:rsid w:val="00DE6C1D"/>
    <w:rsid w:val="00DF751F"/>
    <w:rsid w:val="00E9434D"/>
    <w:rsid w:val="00EB68F9"/>
    <w:rsid w:val="00EE5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372A"/>
  <w15:chartTrackingRefBased/>
  <w15:docId w15:val="{72682317-2BAB-44CF-B4E9-0B5C7A5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A69"/>
    <w:rPr>
      <w:color w:val="0563C1" w:themeColor="hyperlink"/>
      <w:u w:val="single"/>
    </w:rPr>
  </w:style>
  <w:style w:type="character" w:styleId="UnresolvedMention">
    <w:name w:val="Unresolved Mention"/>
    <w:basedOn w:val="DefaultParagraphFont"/>
    <w:uiPriority w:val="99"/>
    <w:semiHidden/>
    <w:unhideWhenUsed/>
    <w:rsid w:val="005A1A69"/>
    <w:rPr>
      <w:color w:val="605E5C"/>
      <w:shd w:val="clear" w:color="auto" w:fill="E1DFDD"/>
    </w:rPr>
  </w:style>
  <w:style w:type="table" w:styleId="TableGrid">
    <w:name w:val="Table Grid"/>
    <w:basedOn w:val="TableNormal"/>
    <w:uiPriority w:val="39"/>
    <w:rsid w:val="0082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C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C0BA0"/>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A00B9"/>
    <w:rPr>
      <w:color w:val="808080"/>
    </w:rPr>
  </w:style>
  <w:style w:type="character" w:styleId="FollowedHyperlink">
    <w:name w:val="FollowedHyperlink"/>
    <w:basedOn w:val="DefaultParagraphFont"/>
    <w:uiPriority w:val="99"/>
    <w:semiHidden/>
    <w:unhideWhenUsed/>
    <w:rsid w:val="00606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39">
      <w:bodyDiv w:val="1"/>
      <w:marLeft w:val="0"/>
      <w:marRight w:val="0"/>
      <w:marTop w:val="0"/>
      <w:marBottom w:val="0"/>
      <w:divBdr>
        <w:top w:val="none" w:sz="0" w:space="0" w:color="auto"/>
        <w:left w:val="none" w:sz="0" w:space="0" w:color="auto"/>
        <w:bottom w:val="none" w:sz="0" w:space="0" w:color="auto"/>
        <w:right w:val="none" w:sz="0" w:space="0" w:color="auto"/>
      </w:divBdr>
      <w:divsChild>
        <w:div w:id="330988569">
          <w:marLeft w:val="0"/>
          <w:marRight w:val="0"/>
          <w:marTop w:val="0"/>
          <w:marBottom w:val="0"/>
          <w:divBdr>
            <w:top w:val="none" w:sz="0" w:space="0" w:color="auto"/>
            <w:left w:val="none" w:sz="0" w:space="0" w:color="auto"/>
            <w:bottom w:val="none" w:sz="0" w:space="0" w:color="auto"/>
            <w:right w:val="none" w:sz="0" w:space="0" w:color="auto"/>
          </w:divBdr>
        </w:div>
      </w:divsChild>
    </w:div>
    <w:div w:id="453139236">
      <w:bodyDiv w:val="1"/>
      <w:marLeft w:val="0"/>
      <w:marRight w:val="0"/>
      <w:marTop w:val="0"/>
      <w:marBottom w:val="0"/>
      <w:divBdr>
        <w:top w:val="none" w:sz="0" w:space="0" w:color="auto"/>
        <w:left w:val="none" w:sz="0" w:space="0" w:color="auto"/>
        <w:bottom w:val="none" w:sz="0" w:space="0" w:color="auto"/>
        <w:right w:val="none" w:sz="0" w:space="0" w:color="auto"/>
      </w:divBdr>
    </w:div>
    <w:div w:id="893539612">
      <w:bodyDiv w:val="1"/>
      <w:marLeft w:val="0"/>
      <w:marRight w:val="0"/>
      <w:marTop w:val="0"/>
      <w:marBottom w:val="0"/>
      <w:divBdr>
        <w:top w:val="none" w:sz="0" w:space="0" w:color="auto"/>
        <w:left w:val="none" w:sz="0" w:space="0" w:color="auto"/>
        <w:bottom w:val="none" w:sz="0" w:space="0" w:color="auto"/>
        <w:right w:val="none" w:sz="0" w:space="0" w:color="auto"/>
      </w:divBdr>
    </w:div>
    <w:div w:id="1028985914">
      <w:bodyDiv w:val="1"/>
      <w:marLeft w:val="0"/>
      <w:marRight w:val="0"/>
      <w:marTop w:val="0"/>
      <w:marBottom w:val="0"/>
      <w:divBdr>
        <w:top w:val="none" w:sz="0" w:space="0" w:color="auto"/>
        <w:left w:val="none" w:sz="0" w:space="0" w:color="auto"/>
        <w:bottom w:val="none" w:sz="0" w:space="0" w:color="auto"/>
        <w:right w:val="none" w:sz="0" w:space="0" w:color="auto"/>
      </w:divBdr>
    </w:div>
    <w:div w:id="1053114153">
      <w:bodyDiv w:val="1"/>
      <w:marLeft w:val="0"/>
      <w:marRight w:val="0"/>
      <w:marTop w:val="0"/>
      <w:marBottom w:val="0"/>
      <w:divBdr>
        <w:top w:val="none" w:sz="0" w:space="0" w:color="auto"/>
        <w:left w:val="none" w:sz="0" w:space="0" w:color="auto"/>
        <w:bottom w:val="none" w:sz="0" w:space="0" w:color="auto"/>
        <w:right w:val="none" w:sz="0" w:space="0" w:color="auto"/>
      </w:divBdr>
      <w:divsChild>
        <w:div w:id="1067990882">
          <w:marLeft w:val="0"/>
          <w:marRight w:val="0"/>
          <w:marTop w:val="0"/>
          <w:marBottom w:val="0"/>
          <w:divBdr>
            <w:top w:val="none" w:sz="0" w:space="0" w:color="auto"/>
            <w:left w:val="none" w:sz="0" w:space="0" w:color="auto"/>
            <w:bottom w:val="none" w:sz="0" w:space="0" w:color="auto"/>
            <w:right w:val="none" w:sz="0" w:space="0" w:color="auto"/>
          </w:divBdr>
        </w:div>
      </w:divsChild>
    </w:div>
    <w:div w:id="1738742312">
      <w:bodyDiv w:val="1"/>
      <w:marLeft w:val="0"/>
      <w:marRight w:val="0"/>
      <w:marTop w:val="0"/>
      <w:marBottom w:val="0"/>
      <w:divBdr>
        <w:top w:val="none" w:sz="0" w:space="0" w:color="auto"/>
        <w:left w:val="none" w:sz="0" w:space="0" w:color="auto"/>
        <w:bottom w:val="none" w:sz="0" w:space="0" w:color="auto"/>
        <w:right w:val="none" w:sz="0" w:space="0" w:color="auto"/>
      </w:divBdr>
    </w:div>
    <w:div w:id="1843087906">
      <w:bodyDiv w:val="1"/>
      <w:marLeft w:val="0"/>
      <w:marRight w:val="0"/>
      <w:marTop w:val="0"/>
      <w:marBottom w:val="0"/>
      <w:divBdr>
        <w:top w:val="none" w:sz="0" w:space="0" w:color="auto"/>
        <w:left w:val="none" w:sz="0" w:space="0" w:color="auto"/>
        <w:bottom w:val="none" w:sz="0" w:space="0" w:color="auto"/>
        <w:right w:val="none" w:sz="0" w:space="0" w:color="auto"/>
      </w:divBdr>
      <w:divsChild>
        <w:div w:id="533737815">
          <w:marLeft w:val="0"/>
          <w:marRight w:val="0"/>
          <w:marTop w:val="0"/>
          <w:marBottom w:val="0"/>
          <w:divBdr>
            <w:top w:val="none" w:sz="0" w:space="0" w:color="auto"/>
            <w:left w:val="none" w:sz="0" w:space="0" w:color="auto"/>
            <w:bottom w:val="none" w:sz="0" w:space="0" w:color="auto"/>
            <w:right w:val="none" w:sz="0" w:space="0" w:color="auto"/>
          </w:divBdr>
          <w:divsChild>
            <w:div w:id="18497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F61F04-3131-470D-9E0E-3F05533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KHETANI, NIKHIL (UG)</dc:creator>
  <cp:keywords/>
  <dc:description/>
  <cp:lastModifiedBy>KHETANI, NIKHIL (UG)</cp:lastModifiedBy>
  <cp:revision>23</cp:revision>
  <cp:lastPrinted>2021-04-17T22:01:00Z</cp:lastPrinted>
  <dcterms:created xsi:type="dcterms:W3CDTF">2021-03-31T20:53:00Z</dcterms:created>
  <dcterms:modified xsi:type="dcterms:W3CDTF">2021-04-19T13:55:00Z</dcterms:modified>
</cp:coreProperties>
</file>