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Error Handling Guidelines for Node.js Services</w:t>
      </w:r>
    </w:p>
    <w:p>
      <w:r>
        <w:rPr>
          <w:sz w:val="22"/>
        </w:rPr>
        <w:t>These guidelines apply to every backend service owned by the platform team. Follow them so that errors are logged once, reported clearly and never crash a process unexpectedly.</w:t>
      </w:r>
    </w:p>
    <w:p>
      <w:pPr>
        <w:pStyle w:val="Heading2"/>
      </w:pPr>
      <w:r>
        <w:rPr/>
        <w:t>1. Operational vs programmer errors</w:t>
      </w:r>
    </w:p>
    <w:p>
      <w:r>
        <w:rPr>
          <w:sz w:val="22"/>
        </w:rPr>
        <w:t>Operational errors are expected runtime problems: a timeout, a refused connection, invalid user input. Handle them and return a proper response.</w:t>
      </w:r>
    </w:p>
    <w:p>
      <w:r>
        <w:rPr>
          <w:sz w:val="22"/>
        </w:rPr>
        <w:t>Programmer errors are bugs: reading a property of undefined, passing the wrong argument type. Log them, let the process crash and let the process manager restart it.</w:t>
      </w:r>
    </w:p>
    <w:p>
      <w:pPr>
        <w:pStyle w:val="Heading2"/>
      </w:pPr>
      <w:r>
        <w:rPr/>
        <w:t>2. Rules</w:t>
      </w:r>
    </w:p>
    <w:p>
      <w:pPr>
        <w:pStyle w:val="ListBullet"/>
      </w:pPr>
      <w:r>
        <w:rPr>
          <w:sz w:val="22"/>
        </w:rPr>
        <w:t>Always await promises or attach .catch(); unhandled rejections crash the process.</w:t>
      </w:r>
    </w:p>
    <w:p>
      <w:pPr>
        <w:pStyle w:val="ListBullet"/>
      </w:pPr>
      <w:r>
        <w:rPr>
          <w:sz w:val="22"/>
        </w:rPr>
        <w:t>Throw Error objects (or subclasses), never strings, so the stack trace is kept.</w:t>
      </w:r>
    </w:p>
    <w:p>
      <w:pPr>
        <w:pStyle w:val="ListBullet"/>
      </w:pPr>
      <w:r>
        <w:rPr>
          <w:sz w:val="22"/>
        </w:rPr>
        <w:t>Add context when re-throwing: new Error('failed to load user', { cause: err }).</w:t>
      </w:r>
    </w:p>
    <w:p>
      <w:pPr>
        <w:pStyle w:val="ListBullet"/>
      </w:pPr>
      <w:r>
        <w:rPr>
          <w:sz w:val="22"/>
        </w:rPr>
        <w:t>Handle errors in one Express error middleware instead of in every route.</w:t>
      </w:r>
    </w:p>
    <w:p>
      <w:pPr>
        <w:pStyle w:val="ListBullet"/>
      </w:pPr>
      <w:r>
        <w:rPr>
          <w:sz w:val="22"/>
        </w:rPr>
        <w:t>Register process.on('uncaughtException') only to log and exit, never to continue.</w:t>
      </w:r>
    </w:p>
    <w:p>
      <w:pPr>
        <w:pStyle w:val="Heading2"/>
      </w:pPr>
      <w:r>
        <w:rPr/>
        <w:t>3. HTTP status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Validation failed</w:t>
            </w:r>
          </w:p>
        </w:tc>
        <w:tc>
          <w:tcPr>
            <w:tcW w:type="dxa" w:w="4320"/>
          </w:tcPr>
          <w:p>
            <w:r>
              <w:t>400 Bad Request</w:t>
            </w:r>
          </w:p>
        </w:tc>
      </w:tr>
      <w:tr>
        <w:tc>
          <w:tcPr>
            <w:tcW w:type="dxa" w:w="4320"/>
          </w:tcPr>
          <w:p>
            <w:r>
              <w:t>Missing or invalid token</w:t>
            </w:r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  <w:tr>
        <w:tc>
          <w:tcPr>
            <w:tcW w:type="dxa" w:w="4320"/>
          </w:tcPr>
          <w:p>
            <w:r>
              <w:t>Resource does not exist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>
              <w:t>Duplicate unique value</w:t>
            </w:r>
          </w:p>
        </w:tc>
        <w:tc>
          <w:tcPr>
            <w:tcW w:type="dxa" w:w="4320"/>
          </w:tcPr>
          <w:p>
            <w:r>
              <w:t>409 Conflict</w:t>
            </w:r>
          </w:p>
        </w:tc>
      </w:tr>
      <w:tr>
        <w:tc>
          <w:tcPr>
            <w:tcW w:type="dxa" w:w="4320"/>
          </w:tcPr>
          <w:p>
            <w:r>
              <w:t>Unexpected bug</w:t>
            </w:r>
          </w:p>
        </w:tc>
        <w:tc>
          <w:tcPr>
            <w:tcW w:type="dxa" w:w="4320"/>
          </w:tcPr>
          <w:p>
            <w:r>
              <w:t>500 Internal Server Error</w:t>
            </w:r>
          </w:p>
        </w:tc>
      </w:tr>
      <w:tr>
        <w:tc>
          <w:tcPr>
            <w:tcW w:type="dxa" w:w="4320"/>
          </w:tcPr>
          <w:p>
            <w:r>
              <w:t>Downstream service timed out</w:t>
            </w:r>
          </w:p>
        </w:tc>
        <w:tc>
          <w:tcPr>
            <w:tcW w:type="dxa" w:w="4320"/>
          </w:tcPr>
          <w:p>
            <w:r>
              <w:t>503 Service Unavailable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Handling Guidelines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