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 Training Policy Manual</w:t>
      </w:r>
    </w:p>
    <w:p>
      <w:pPr>
        <w:pStyle w:val="Heading2"/>
      </w:pPr>
      <w:r>
        <w:t>1. Purpose</w:t>
      </w:r>
    </w:p>
    <w:p>
      <w:r>
        <w:t>This policy defines the standards, responsibilities, evaluation process, and expected conduct for all trainees.</w:t>
      </w:r>
    </w:p>
    <w:p>
      <w:pPr>
        <w:pStyle w:val="Heading2"/>
      </w:pPr>
      <w:r>
        <w:t>2. Scope</w:t>
      </w:r>
    </w:p>
    <w:p>
      <w:r>
        <w:t>Applicable to all students, interns, trainers, evaluators, HR, and placement team.</w:t>
      </w:r>
    </w:p>
    <w:p>
      <w:pPr>
        <w:pStyle w:val="Heading2"/>
      </w:pPr>
      <w:r>
        <w:t>3. Attendance Policy</w:t>
      </w:r>
    </w:p>
    <w:p>
      <w:r>
        <w:t>- Minimum attendance requirement.</w:t>
        <w:br/>
        <w:t>- Leave requests must be approved.</w:t>
        <w:br/>
        <w:t>- Repeated absence may affect certification.</w:t>
      </w:r>
    </w:p>
    <w:p>
      <w:pPr>
        <w:pStyle w:val="Heading2"/>
      </w:pPr>
      <w:r>
        <w:t>4. Code of Conduct</w:t>
      </w:r>
    </w:p>
    <w:p>
      <w:r>
        <w:t>- Professional behavior.</w:t>
        <w:br/>
        <w:t>- Respect trainers and peers.</w:t>
        <w:br/>
        <w:t>- Academic integrity.</w:t>
        <w:br/>
        <w:t>- No plagiarism.</w:t>
      </w:r>
    </w:p>
    <w:p>
      <w:pPr>
        <w:pStyle w:val="Heading2"/>
      </w:pPr>
      <w:r>
        <w:t>5. Learning Policy</w:t>
      </w:r>
    </w:p>
    <w:p>
      <w:r>
        <w:t>- Complete worksheets, assignments, and labs.</w:t>
        <w:br/>
        <w:t>- Participate in presentations and viva.</w:t>
        <w:br/>
        <w:t>- Complete end-to-end projects.</w:t>
      </w:r>
    </w:p>
    <w:p>
      <w:pPr>
        <w:pStyle w:val="Heading2"/>
      </w:pPr>
      <w:r>
        <w:t>6. Evaluation Policy</w:t>
      </w:r>
    </w:p>
    <w:p>
      <w:r>
        <w:t>- Weekly worksheets.</w:t>
        <w:br/>
        <w:t>- Monthly presentations.</w:t>
        <w:br/>
        <w:t>- Monthly viva.</w:t>
        <w:br/>
        <w:t>- Weekly project reviews.</w:t>
        <w:br/>
        <w:t>- Continuous assessment.</w:t>
      </w:r>
    </w:p>
    <w:p>
      <w:pPr>
        <w:pStyle w:val="Heading2"/>
      </w:pPr>
      <w:r>
        <w:t>7. Senior Evaluation Team</w:t>
      </w:r>
    </w:p>
    <w:p>
      <w:r>
        <w:t>Senior students may evaluate presentations, viva, and project demonstrations using a standardized rubric.</w:t>
      </w:r>
    </w:p>
    <w:p>
      <w:pPr>
        <w:pStyle w:val="Heading2"/>
      </w:pPr>
      <w:r>
        <w:t>8. Trainer Responsibilities</w:t>
      </w:r>
    </w:p>
    <w:p>
      <w:r>
        <w:t>- Deliver concepts.</w:t>
        <w:br/>
        <w:t>- Review progress.</w:t>
        <w:br/>
        <w:t>- Mentor projects.</w:t>
        <w:br/>
        <w:t>- Maintain evaluation records.</w:t>
      </w:r>
    </w:p>
    <w:p>
      <w:pPr>
        <w:pStyle w:val="Heading2"/>
      </w:pPr>
      <w:r>
        <w:t>9. Project Policy</w:t>
      </w:r>
    </w:p>
    <w:p>
      <w:r>
        <w:t>Each major tool/module must conclude with a real-world end-to-end project including planning, implementation, review, documentation, and presentation.</w:t>
      </w:r>
    </w:p>
    <w:p>
      <w:pPr>
        <w:pStyle w:val="Heading2"/>
      </w:pPr>
      <w:r>
        <w:t>10. Mock Interviews</w:t>
      </w:r>
    </w:p>
    <w:p>
      <w:r>
        <w:t>Technical and HR mock interviews will be conducted using a unified evaluation format.</w:t>
      </w:r>
    </w:p>
    <w:p>
      <w:pPr>
        <w:pStyle w:val="Heading2"/>
      </w:pPr>
      <w:r>
        <w:t>11. Placement Readiness</w:t>
      </w:r>
    </w:p>
    <w:p>
      <w:r>
        <w:t>Students must complete required evaluations, projects, communication sessions, and mock interviews.</w:t>
      </w:r>
    </w:p>
    <w:p>
      <w:pPr>
        <w:pStyle w:val="Heading2"/>
      </w:pPr>
      <w:r>
        <w:t>12. Certification Criteria</w:t>
      </w:r>
    </w:p>
    <w:p>
      <w:r>
        <w:t>Certification depends on attendance, assessments, project completion, professionalism, and overall performance.</w:t>
      </w:r>
    </w:p>
    <w:p>
      <w:pPr>
        <w:pStyle w:val="Heading2"/>
      </w:pPr>
      <w:r>
        <w:t>13. Lab Usage Policy</w:t>
      </w:r>
    </w:p>
    <w:p>
      <w:r>
        <w:t>Use systems responsibly, protect institutional resources, and maintain backups.</w:t>
      </w:r>
    </w:p>
    <w:p>
      <w:pPr>
        <w:pStyle w:val="Heading2"/>
      </w:pPr>
      <w:r>
        <w:t>14. Academic Integrity</w:t>
      </w:r>
    </w:p>
    <w:p>
      <w:r>
        <w:t>Copying assignments, AI misuse without acknowledgement, or plagiarism may lead to re-evaluation or disciplinary action.</w:t>
      </w:r>
    </w:p>
    <w:p>
      <w:pPr>
        <w:pStyle w:val="Heading2"/>
      </w:pPr>
      <w:r>
        <w:t>15. Review &amp; Revision</w:t>
      </w:r>
    </w:p>
    <w:p>
      <w:r>
        <w:t>The institution may revise this policy whenever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