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1D186">
      <w:pPr>
        <w:pStyle w:val="2"/>
        <w:bidi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PROBLEM STATEMENT</w:t>
      </w:r>
    </w:p>
    <w:p w14:paraId="2768385F">
      <w:pPr>
        <w:pStyle w:val="3"/>
        <w:bidi w:val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>KPI Requirement</w:t>
      </w:r>
      <w:bookmarkStart w:id="0" w:name="_GoBack"/>
      <w:bookmarkEnd w:id="0"/>
    </w:p>
    <w:p w14:paraId="7031C684">
      <w:pPr>
        <w:rPr>
          <w:rFonts w:hint="default"/>
          <w:lang w:val="en-US"/>
        </w:rPr>
      </w:pPr>
      <w:r>
        <w:rPr>
          <w:rFonts w:hint="default" w:ascii="Cambria" w:hAnsi="Cambria" w:cs="Cambria"/>
          <w:lang w:val="en-US"/>
        </w:rPr>
        <w:t>These are the top boxes / text boxes that can be created using 1 row’s data and using calculation fields on it.</w:t>
      </w:r>
    </w:p>
    <w:p w14:paraId="705910D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Style w:val="8"/>
          <w:rFonts w:hint="default" w:ascii="Cambria" w:hAnsi="Cambria" w:cs="Cambria"/>
          <w:b/>
          <w:bCs/>
          <w:sz w:val="20"/>
          <w:szCs w:val="20"/>
          <w:lang w:val="en-US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Total Vehicles:</w:t>
      </w:r>
      <w:r>
        <w:rPr>
          <w:rStyle w:val="8"/>
          <w:rFonts w:hint="default" w:ascii="Cambria" w:hAnsi="Cambria" w:cs="Cambria"/>
          <w:b/>
          <w:bCs/>
          <w:sz w:val="20"/>
          <w:szCs w:val="20"/>
          <w:lang w:val="en-US"/>
        </w:rPr>
        <w:t xml:space="preserve"> </w:t>
      </w:r>
    </w:p>
    <w:p w14:paraId="527D082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outlineLvl w:val="2"/>
        <w:rPr>
          <w:rFonts w:hint="default" w:ascii="Cambria" w:hAnsi="Cambria" w:cs="Cambria"/>
          <w:sz w:val="13"/>
          <w:szCs w:val="13"/>
        </w:rPr>
      </w:pPr>
      <w:r>
        <w:rPr>
          <w:rFonts w:hint="default" w:ascii="Cambria" w:hAnsi="Cambria" w:cs="Cambria"/>
          <w:b w:val="0"/>
          <w:bCs w:val="0"/>
          <w:sz w:val="18"/>
          <w:szCs w:val="18"/>
        </w:rPr>
        <w:t>Understand the overall landscape of electric vehicles, encompassing both BEVs and PHEVs, to assess the market's size and growth.</w:t>
      </w:r>
    </w:p>
    <w:p w14:paraId="63FBD0C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8"/>
          <w:rFonts w:hint="default" w:ascii="Cambria" w:hAnsi="Cambria" w:cs="Cambria"/>
          <w:b/>
          <w:bCs/>
          <w:sz w:val="20"/>
          <w:szCs w:val="20"/>
          <w:lang w:val="en-US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Average Electric Range:</w:t>
      </w:r>
      <w:r>
        <w:rPr>
          <w:rStyle w:val="8"/>
          <w:rFonts w:hint="default" w:ascii="Cambria" w:hAnsi="Cambria" w:cs="Cambria"/>
          <w:b/>
          <w:bCs/>
          <w:sz w:val="20"/>
          <w:szCs w:val="20"/>
          <w:lang w:val="en-US"/>
        </w:rPr>
        <w:t xml:space="preserve"> </w:t>
      </w:r>
    </w:p>
    <w:p w14:paraId="099D194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sz w:val="13"/>
          <w:szCs w:val="13"/>
        </w:rPr>
      </w:pPr>
      <w:r>
        <w:rPr>
          <w:rFonts w:hint="default" w:ascii="Cambria" w:hAnsi="Cambria" w:cs="Cambria"/>
          <w:sz w:val="18"/>
          <w:szCs w:val="18"/>
        </w:rPr>
        <w:t>Determine the average electric range of the electric vehicles in the dataset to gauge the technological advancements and efficiency of the EVs.</w:t>
      </w:r>
    </w:p>
    <w:p w14:paraId="5744EC22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3"/>
          <w:szCs w:val="13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3. Total BEV Vehicles and % of Total BEV Vehicles:</w:t>
      </w:r>
    </w:p>
    <w:p w14:paraId="5812F79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sz w:val="18"/>
          <w:szCs w:val="18"/>
        </w:rPr>
      </w:pPr>
      <w:r>
        <w:rPr>
          <w:rFonts w:hint="default" w:ascii="Cambria" w:hAnsi="Cambria" w:cs="Cambria"/>
          <w:b w:val="0"/>
          <w:bCs w:val="0"/>
          <w:sz w:val="18"/>
          <w:szCs w:val="18"/>
        </w:rPr>
        <w:t>Identify and analyze the total number of Battery Electric Vehicles (BEVs) in the dataset.</w:t>
      </w:r>
    </w:p>
    <w:p w14:paraId="13CB05A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sz w:val="13"/>
          <w:szCs w:val="13"/>
        </w:rPr>
      </w:pPr>
      <w:r>
        <w:rPr>
          <w:rFonts w:hint="default" w:ascii="Cambria" w:hAnsi="Cambria" w:cs="Cambria"/>
          <w:b w:val="0"/>
          <w:bCs w:val="0"/>
          <w:sz w:val="18"/>
          <w:szCs w:val="18"/>
        </w:rPr>
        <w:t>Calculate the percentage of BEVs relative to the total number of electric vehicles, providing insights into the dominance of fully electric models.</w:t>
      </w:r>
    </w:p>
    <w:p w14:paraId="5F44CA5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13"/>
          <w:szCs w:val="13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4. Total PHEV Vehicles and % of Total PHEV Vehicles:</w:t>
      </w:r>
    </w:p>
    <w:p w14:paraId="61B8A30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Fonts w:hint="default" w:ascii="Cambria" w:hAnsi="Cambria" w:cs="Cambria"/>
          <w:b w:val="0"/>
          <w:bCs w:val="0"/>
          <w:sz w:val="18"/>
          <w:szCs w:val="18"/>
        </w:rPr>
        <w:t>Identify and analyze the total number of Plug-in Hybrid Electric Vehicles (PHEVs) in the dataset.</w:t>
      </w:r>
    </w:p>
    <w:p w14:paraId="555A767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Fonts w:hint="default" w:ascii="Cambria" w:hAnsi="Cambria" w:cs="Cambria"/>
          <w:b w:val="0"/>
          <w:bCs w:val="0"/>
          <w:sz w:val="18"/>
          <w:szCs w:val="18"/>
        </w:rPr>
        <w:t>Calculate the percentage of PHEVs relative to the total number of electric vehicles, offering insights into the market share of plug-in hybrid models.</w:t>
      </w:r>
    </w:p>
    <w:p w14:paraId="4C75313D">
      <w:pPr>
        <w:rPr>
          <w:rFonts w:hint="default" w:ascii="Cambria" w:hAnsi="Cambria" w:cs="Cambria"/>
          <w:sz w:val="13"/>
          <w:szCs w:val="13"/>
        </w:rPr>
      </w:pPr>
      <w:r>
        <w:rPr>
          <w:rFonts w:hint="default" w:ascii="Cambria" w:hAnsi="Cambria" w:cs="Cambria"/>
          <w:sz w:val="13"/>
          <w:szCs w:val="13"/>
        </w:rPr>
        <w:br w:type="page"/>
      </w:r>
    </w:p>
    <w:p w14:paraId="4A330555">
      <w:pPr>
        <w:pStyle w:val="3"/>
        <w:bidi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Charts Requirement</w:t>
      </w:r>
    </w:p>
    <w:p w14:paraId="43D0BFD9">
      <w:pPr>
        <w:pStyle w:val="4"/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1. Total Vehicles by Model Year (From 2010 Onwards):</w:t>
      </w:r>
    </w:p>
    <w:p w14:paraId="109BF6E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>Visualization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: Line / Area Chart</w:t>
      </w:r>
    </w:p>
    <w:p w14:paraId="6BE0D6E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</w:pPr>
      <w:r>
        <w:rPr>
          <w:rFonts w:hint="default" w:ascii="Cambria" w:hAnsi="Cambria" w:cs="Cambria"/>
          <w:b/>
          <w:bCs/>
          <w:sz w:val="18"/>
          <w:szCs w:val="18"/>
        </w:rPr>
        <w:t>Description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: This chart will illustrate the distribution of electric vehicles over the years, starting from 2010, providing insights into the growth pattern and adoption trends.</w:t>
      </w:r>
    </w:p>
    <w:p w14:paraId="5B95C787">
      <w:pPr>
        <w:pStyle w:val="4"/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2. Total Vehicles by State:</w:t>
      </w:r>
    </w:p>
    <w:p w14:paraId="020C22B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 w:val="0"/>
          <w:bCs w:val="0"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>Visualization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: Map Chart</w:t>
      </w:r>
    </w:p>
    <w:p w14:paraId="0D02DA6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</w:pPr>
      <w:r>
        <w:rPr>
          <w:rFonts w:hint="default" w:ascii="Cambria" w:hAnsi="Cambria" w:cs="Cambria"/>
          <w:b/>
          <w:bCs/>
          <w:sz w:val="18"/>
          <w:szCs w:val="18"/>
        </w:rPr>
        <w:t>Description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: This chart will showcase the geographical distribution of electric vehicles across different states, allowing for the identification of regions with higher adoption rates.</w:t>
      </w:r>
    </w:p>
    <w:p w14:paraId="651B7187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3. Top 10 Total Vehicles by Make:</w:t>
      </w:r>
    </w:p>
    <w:p w14:paraId="0BE32C5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/>
          <w:bCs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>Visualization: Bar Chart</w:t>
      </w:r>
    </w:p>
    <w:p w14:paraId="10666E3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</w:pPr>
      <w:r>
        <w:rPr>
          <w:rFonts w:hint="default" w:ascii="Cambria" w:hAnsi="Cambria" w:cs="Cambria"/>
          <w:b/>
          <w:bCs/>
          <w:sz w:val="18"/>
          <w:szCs w:val="18"/>
        </w:rPr>
        <w:t>Description: Highlight the top 10 electric vehicle manufacturers based on the total number of vehicles, providing insights into the market dominance of specific brands.</w:t>
      </w:r>
    </w:p>
    <w:p w14:paraId="7375EEBF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4. Total Vehicles by CAFV Eligibility</w:t>
      </w:r>
    </w:p>
    <w:p w14:paraId="7FFC73D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 w:val="0"/>
          <w:bCs w:val="0"/>
          <w:sz w:val="18"/>
          <w:szCs w:val="18"/>
          <w:lang w:val="en-US"/>
        </w:rPr>
      </w:pPr>
      <w:r>
        <w:rPr>
          <w:rFonts w:hint="default" w:ascii="Cambria" w:hAnsi="Cambria" w:cs="Cambria"/>
          <w:b/>
          <w:bCs/>
          <w:sz w:val="18"/>
          <w:szCs w:val="18"/>
        </w:rPr>
        <w:t xml:space="preserve">Visualization: 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Pie Chart or Donut Char</w:t>
      </w:r>
      <w:r>
        <w:rPr>
          <w:rFonts w:hint="default" w:ascii="Cambria" w:hAnsi="Cambria" w:cs="Cambria"/>
          <w:b w:val="0"/>
          <w:bCs w:val="0"/>
          <w:sz w:val="18"/>
          <w:szCs w:val="18"/>
          <w:lang w:val="en-US"/>
        </w:rPr>
        <w:t>t</w:t>
      </w:r>
    </w:p>
    <w:p w14:paraId="5AD18F8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/>
          <w:bCs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 xml:space="preserve">Description: 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Illustrate the proportion of electric vehicles that are eligible for Clean Alternative Fuel Vehicle (CAFV) incentives, aiding in understanding the impact of incentives on vehicle adoption.</w:t>
      </w:r>
    </w:p>
    <w:p w14:paraId="5DAAE636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mbria" w:hAnsi="Cambria" w:cs="Cambria"/>
          <w:b/>
          <w:bCs/>
          <w:sz w:val="20"/>
          <w:szCs w:val="20"/>
        </w:rPr>
        <w:t>5. Total Vehicles by Model:</w:t>
      </w:r>
    </w:p>
    <w:p w14:paraId="5F4D65C5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/>
          <w:bCs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 xml:space="preserve">Visualization: 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Grid View</w:t>
      </w:r>
    </w:p>
    <w:p w14:paraId="40971E4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hanging="420" w:firstLineChars="0"/>
        <w:jc w:val="left"/>
        <w:outlineLvl w:val="2"/>
        <w:rPr>
          <w:rFonts w:hint="default" w:ascii="Cambria" w:hAnsi="Cambria" w:cs="Cambria"/>
          <w:b/>
          <w:bCs/>
          <w:sz w:val="18"/>
          <w:szCs w:val="18"/>
        </w:rPr>
      </w:pPr>
      <w:r>
        <w:rPr>
          <w:rFonts w:hint="default" w:ascii="Cambria" w:hAnsi="Cambria" w:cs="Cambria"/>
          <w:b/>
          <w:bCs/>
          <w:sz w:val="18"/>
          <w:szCs w:val="18"/>
        </w:rPr>
        <w:t xml:space="preserve">Description: </w:t>
      </w:r>
      <w:r>
        <w:rPr>
          <w:rFonts w:hint="default" w:ascii="Cambria" w:hAnsi="Cambria" w:cs="Cambria"/>
          <w:b w:val="0"/>
          <w:bCs w:val="0"/>
          <w:sz w:val="18"/>
          <w:szCs w:val="18"/>
        </w:rPr>
        <w:t>Highlight the top 10 electric vehicle models based on the total number of vehicles, offering insights into consumer preferences and popular models in the market</w:t>
      </w:r>
      <w:r>
        <w:rPr>
          <w:rFonts w:hint="default" w:ascii="Cambria" w:hAnsi="Cambria" w:cs="Cambria"/>
          <w:b/>
          <w:bCs/>
          <w:sz w:val="18"/>
          <w:szCs w:val="18"/>
        </w:rPr>
        <w:t>.</w:t>
      </w:r>
    </w:p>
    <w:p w14:paraId="1E7981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FB78464">
      <w:pPr>
        <w:rPr>
          <w:rFonts w:hint="default" w:ascii="Cambria" w:hAnsi="Cambria" w:cs="Cambria"/>
          <w:sz w:val="13"/>
          <w:szCs w:val="13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2B0CC"/>
    <w:multiLevelType w:val="singleLevel"/>
    <w:tmpl w:val="1CD2B0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69B08E1E"/>
    <w:multiLevelType w:val="multilevel"/>
    <w:tmpl w:val="69B08E1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6739B"/>
    <w:rsid w:val="06AD1A6A"/>
    <w:rsid w:val="09A3512B"/>
    <w:rsid w:val="17AC12AB"/>
    <w:rsid w:val="1B027E29"/>
    <w:rsid w:val="1D547061"/>
    <w:rsid w:val="1E0B1987"/>
    <w:rsid w:val="230D5D8D"/>
    <w:rsid w:val="2B5833A9"/>
    <w:rsid w:val="34EE7C99"/>
    <w:rsid w:val="43285E65"/>
    <w:rsid w:val="47CC4A9D"/>
    <w:rsid w:val="482D69F6"/>
    <w:rsid w:val="4B8C3BDB"/>
    <w:rsid w:val="4D1F037B"/>
    <w:rsid w:val="60150B9A"/>
    <w:rsid w:val="66847FBA"/>
    <w:rsid w:val="66E2321F"/>
    <w:rsid w:val="73F1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2026-01-20T08:59:00Z</dcterms:created>
  <dc:creator>Nikhil RK</dc:creator>
  <cp:lastModifiedBy>Nikhil RK</cp:lastModifiedBy>
  <dcterms:modified xsi:type="dcterms:W3CDTF">2026-01-20T12:00:41Z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7E03128058D04A4798EAB9CDFADDE7C2_12</vt:lpwstr>
  </property>
</Properties>
</file>