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5073"/>
          <w:sz w:val="36"/>
        </w:rPr>
        <w:t>CISCO VIRTUAL INTERNSHIP 2026</w:t>
        <w:br/>
        <w:t>CYBER SECURITY CAPSTONE PROJECT</w:t>
      </w:r>
    </w:p>
    <w:p>
      <w:pPr>
        <w:jc w:val="center"/>
      </w:pPr>
      <w:r>
        <w:rPr>
          <w:rFonts w:ascii="Arial" w:hAnsi="Arial"/>
          <w:b/>
          <w:color w:val="1B365D"/>
          <w:sz w:val="28"/>
        </w:rPr>
        <w:t>Secure Hybrid Data Center Network Architecture &amp; Multi-Cloud Workload Protection</w:t>
      </w:r>
    </w:p>
    <w:tbl>
      <w:tblPr>
        <w:tblW w:type="auto" w:w="0"/>
        <w:jc w:val="center"/>
        <w:tblLook w:firstColumn="1" w:firstRow="1" w:lastColumn="0" w:lastRow="0" w:noHBand="0" w:noVBand="1" w:val="04A0"/>
      </w:tblPr>
      <w:tblGrid>
        <w:gridCol w:w="4968"/>
        <w:gridCol w:w="4968"/>
      </w:tblGrid>
      <w:tr>
        <w:tc>
          <w:tcPr>
            <w:tcW w:type="dxa" w:w="4968"/>
            <w:shd w:val="clear" w:color="auto" w:fill="EBF3F9"/>
          </w:tcPr>
          <w:p>
            <w:r>
              <w:rPr>
                <w:b/>
                <w:sz w:val="19"/>
              </w:rPr>
              <w:t>Program &amp; Body</w:t>
            </w:r>
          </w:p>
        </w:tc>
        <w:tc>
          <w:tcPr>
            <w:tcW w:type="dxa" w:w="4968"/>
            <w:shd w:val="clear" w:color="auto" w:fill="F8FAFC"/>
          </w:tcPr>
          <w:p>
            <w:r>
              <w:rPr>
                <w:sz w:val="19"/>
              </w:rPr>
              <w:t>Cisco Virtual Internship 2026 / AICTE &amp; Cisco Networking Academy</w:t>
            </w:r>
          </w:p>
        </w:tc>
      </w:tr>
      <w:tr>
        <w:tc>
          <w:tcPr>
            <w:tcW w:type="dxa" w:w="4968"/>
            <w:shd w:val="clear" w:color="auto" w:fill="EBF3F9"/>
          </w:tcPr>
          <w:p>
            <w:r>
              <w:rPr>
                <w:b/>
                <w:sz w:val="19"/>
              </w:rPr>
              <w:t>Problem Statement</w:t>
            </w:r>
          </w:p>
        </w:tc>
        <w:tc>
          <w:tcPr>
            <w:tcW w:type="dxa" w:w="4968"/>
            <w:shd w:val="clear" w:color="auto" w:fill="F8FAFC"/>
          </w:tcPr>
          <w:p>
            <w:r>
              <w:rPr>
                <w:sz w:val="19"/>
              </w:rPr>
              <w:t>Cyber Security: Enterprise Hybrid Data Center Security &amp; Workload Protection</w:t>
            </w:r>
          </w:p>
        </w:tc>
      </w:tr>
      <w:tr>
        <w:tc>
          <w:tcPr>
            <w:tcW w:type="dxa" w:w="4968"/>
            <w:shd w:val="clear" w:color="auto" w:fill="EBF3F9"/>
          </w:tcPr>
          <w:p>
            <w:r>
              <w:rPr>
                <w:b/>
                <w:sz w:val="19"/>
              </w:rPr>
              <w:t>Core Technologies</w:t>
            </w:r>
          </w:p>
        </w:tc>
        <w:tc>
          <w:tcPr>
            <w:tcW w:type="dxa" w:w="4968"/>
            <w:shd w:val="clear" w:color="auto" w:fill="F8FAFC"/>
          </w:tcPr>
          <w:p>
            <w:r>
              <w:rPr>
                <w:sz w:val="19"/>
              </w:rPr>
              <w:t>Cisco ASA/Firepower, Cisco ISE, Cisco Duo, AWS TGW, Calico CNI, Istio mTLS</w:t>
            </w:r>
          </w:p>
        </w:tc>
      </w:tr>
      <w:tr>
        <w:tc>
          <w:tcPr>
            <w:tcW w:type="dxa" w:w="4968"/>
            <w:shd w:val="clear" w:color="auto" w:fill="EBF3F9"/>
          </w:tcPr>
          <w:p>
            <w:r>
              <w:rPr>
                <w:b/>
                <w:sz w:val="19"/>
              </w:rPr>
              <w:t>Submission Deadline</w:t>
            </w:r>
          </w:p>
        </w:tc>
        <w:tc>
          <w:tcPr>
            <w:tcW w:type="dxa" w:w="4968"/>
            <w:shd w:val="clear" w:color="auto" w:fill="F8FAFC"/>
          </w:tcPr>
          <w:p>
            <w:r>
              <w:rPr>
                <w:sz w:val="19"/>
              </w:rPr>
              <w:t>30th August 2026</w:t>
            </w:r>
          </w:p>
        </w:tc>
      </w:tr>
      <w:tr>
        <w:tc>
          <w:tcPr>
            <w:tcW w:type="dxa" w:w="4968"/>
            <w:shd w:val="clear" w:color="auto" w:fill="EBF3F9"/>
          </w:tcPr>
          <w:p>
            <w:r>
              <w:rPr>
                <w:b/>
                <w:sz w:val="19"/>
              </w:rPr>
              <w:t>Document Type</w:t>
            </w:r>
          </w:p>
        </w:tc>
        <w:tc>
          <w:tcPr>
            <w:tcW w:type="dxa" w:w="4968"/>
            <w:shd w:val="clear" w:color="auto" w:fill="F8FAFC"/>
          </w:tcPr>
          <w:p>
            <w:r>
              <w:rPr>
                <w:sz w:val="19"/>
              </w:rPr>
              <w:t>Technical Architecture Specification &amp; Capstone Report</w:t>
            </w:r>
          </w:p>
        </w:tc>
      </w:tr>
    </w:tbl>
    <w:p/>
    <w:p>
      <w:pPr>
        <w:pStyle w:val="Heading1"/>
      </w:pPr>
      <w:r>
        <w:rPr>
          <w:color w:val="005073"/>
        </w:rPr>
        <w:t>1. Executive Summary</w:t>
      </w:r>
    </w:p>
    <w:p>
      <w:r>
        <w:t>Modern enterprise and higher education institutions are transitioning from isolated on-premises data centers to distributed hybrid multi-cloud architectures. Today's academic and enterprise workloads span private data centers (Red Hat OpenShift, local database clusters) and public cloud environments (AWS EKS, RDS, Azure AKS). While this hybrid paradigm unlocks unprecedented scalability and collaborative power, it fundamentally dissolves the traditional network perimeter.</w:t>
        <w:br/>
        <w:br/>
        <w:t>This project presents an enterprise-grade Secure Hybrid Data Center Network Architecture designed to balance simplicity, rock-solid security, and linear scalability. Leveraging Cisco enterprise security solutions (Cisco ASA 5506-X / Firepower, Cisco ISE, Cisco Duo MFA, Cisco Stealthwatch) combined with cloud-native controls (AWS Transit Gateway, SG-to-SG referencing, Calico CNI default-deny, and Istio mTLS), this architecture guarantees that any breach within a single container, virtual machine, or remote endpoint is immediately contained, logged, and isolated.</w:t>
      </w:r>
    </w:p>
    <w:p>
      <w:pPr>
        <w:pStyle w:val="Heading1"/>
      </w:pPr>
      <w:r>
        <w:rPr>
          <w:color w:val="005073"/>
        </w:rPr>
        <w:t>2. Problem Statement &amp; Key Objectives</w:t>
      </w:r>
    </w:p>
    <w:p>
      <w:r>
        <w:t>The project addresses the following critical enterprise cybersecurity challenges:</w:t>
        <w:br/>
        <w:t>• Hybrid Interconnect Protection: Securing data traversing private data centers and public cloud infrastructure via IKEv2 IPsec VPN.</w:t>
        <w:br/>
        <w:t>• Unified Identity &amp; Access Management (IAM): Eliminating static credentials through OIDC Federation (EKS IRSA), Least-Privilege RBAC, and Cisco Duo MFA.</w:t>
        <w:br/>
        <w:t>• Multi-VPC Micro-Segmentation: Designing a Hub-and-Spoke Transit Gateway network with 3-tier subnets and SG-to-SG referencing.</w:t>
        <w:br/>
        <w:t>• Kubernetes &amp; Container Hardening: Enforcing Calico CNI default-deny policies, Restricted Pod Security Standards, and Istio STRICT mTLS.</w:t>
        <w:br/>
        <w:t>• Secure Remote Faculty Access: Deploying Cisco AnyConnect ZTNA with dynamic Cisco ISE posture assessments.</w:t>
        <w:br/>
        <w:t>• DevSecOps Governance: Establishing automated CI/CD security gates (SAST, Checkov IaC, Trivy CVE scanning, Cosign signing).</w:t>
      </w:r>
    </w:p>
    <w:p>
      <w:pPr>
        <w:pStyle w:val="Heading1"/>
      </w:pPr>
      <w:r>
        <w:rPr>
          <w:color w:val="005073"/>
        </w:rPr>
        <w:t>3. Network Topology &amp; IP Addressing Scheme</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05073"/>
          </w:tcPr>
          <w:p>
            <w:r>
              <w:rPr>
                <w:b/>
                <w:color w:val="FFFFFF"/>
                <w:sz w:val="19"/>
              </w:rPr>
              <w:t>Segment Name</w:t>
            </w:r>
          </w:p>
        </w:tc>
        <w:tc>
          <w:tcPr>
            <w:tcW w:type="dxa" w:w="2484"/>
            <w:shd w:val="clear" w:color="auto" w:fill="005073"/>
          </w:tcPr>
          <w:p>
            <w:r>
              <w:rPr>
                <w:b/>
                <w:color w:val="FFFFFF"/>
                <w:sz w:val="19"/>
              </w:rPr>
              <w:t>Subnet CIDR</w:t>
            </w:r>
          </w:p>
        </w:tc>
        <w:tc>
          <w:tcPr>
            <w:tcW w:type="dxa" w:w="2484"/>
            <w:shd w:val="clear" w:color="auto" w:fill="005073"/>
          </w:tcPr>
          <w:p>
            <w:r>
              <w:rPr>
                <w:b/>
                <w:color w:val="FFFFFF"/>
                <w:sz w:val="19"/>
              </w:rPr>
              <w:t>VLAN / Zone</w:t>
            </w:r>
          </w:p>
        </w:tc>
        <w:tc>
          <w:tcPr>
            <w:tcW w:type="dxa" w:w="2484"/>
            <w:shd w:val="clear" w:color="auto" w:fill="005073"/>
          </w:tcPr>
          <w:p>
            <w:r>
              <w:rPr>
                <w:b/>
                <w:color w:val="FFFFFF"/>
                <w:sz w:val="19"/>
              </w:rPr>
              <w:t>Security Function</w:t>
            </w:r>
          </w:p>
        </w:tc>
      </w:tr>
      <w:tr>
        <w:tc>
          <w:tcPr>
            <w:tcW w:type="dxa" w:w="2484"/>
            <w:shd w:val="clear" w:color="auto" w:fill="F8FAFC"/>
          </w:tcPr>
          <w:p>
            <w:r>
              <w:rPr>
                <w:sz w:val="18"/>
              </w:rPr>
              <w:t>Enterprise Core Transit</w:t>
            </w:r>
          </w:p>
        </w:tc>
        <w:tc>
          <w:tcPr>
            <w:tcW w:type="dxa" w:w="2484"/>
            <w:shd w:val="clear" w:color="auto" w:fill="F8FAFC"/>
          </w:tcPr>
          <w:p>
            <w:r>
              <w:rPr>
                <w:sz w:val="18"/>
              </w:rPr>
              <w:t>10.10.0.0/30</w:t>
            </w:r>
          </w:p>
        </w:tc>
        <w:tc>
          <w:tcPr>
            <w:tcW w:type="dxa" w:w="2484"/>
            <w:shd w:val="clear" w:color="auto" w:fill="F8FAFC"/>
          </w:tcPr>
          <w:p>
            <w:r>
              <w:rPr>
                <w:sz w:val="18"/>
              </w:rPr>
              <w:t>P2P</w:t>
            </w:r>
          </w:p>
        </w:tc>
        <w:tc>
          <w:tcPr>
            <w:tcW w:type="dxa" w:w="2484"/>
            <w:shd w:val="clear" w:color="auto" w:fill="F8FAFC"/>
          </w:tcPr>
          <w:p>
            <w:r>
              <w:rPr>
                <w:sz w:val="18"/>
              </w:rPr>
              <w:t>Core Router to ASA Inside link</w:t>
            </w:r>
          </w:p>
        </w:tc>
      </w:tr>
      <w:tr>
        <w:tc>
          <w:tcPr>
            <w:tcW w:type="dxa" w:w="2484"/>
            <w:shd w:val="clear" w:color="auto" w:fill="FFFFFF"/>
          </w:tcPr>
          <w:p>
            <w:r>
              <w:rPr>
                <w:sz w:val="18"/>
              </w:rPr>
              <w:t>Faculty Workstations</w:t>
            </w:r>
          </w:p>
        </w:tc>
        <w:tc>
          <w:tcPr>
            <w:tcW w:type="dxa" w:w="2484"/>
            <w:shd w:val="clear" w:color="auto" w:fill="FFFFFF"/>
          </w:tcPr>
          <w:p>
            <w:r>
              <w:rPr>
                <w:sz w:val="18"/>
              </w:rPr>
              <w:t>10.10.10.0/24</w:t>
            </w:r>
          </w:p>
        </w:tc>
        <w:tc>
          <w:tcPr>
            <w:tcW w:type="dxa" w:w="2484"/>
            <w:shd w:val="clear" w:color="auto" w:fill="FFFFFF"/>
          </w:tcPr>
          <w:p>
            <w:r>
              <w:rPr>
                <w:sz w:val="18"/>
              </w:rPr>
              <w:t>VLAN 10</w:t>
            </w:r>
          </w:p>
        </w:tc>
        <w:tc>
          <w:tcPr>
            <w:tcW w:type="dxa" w:w="2484"/>
            <w:shd w:val="clear" w:color="auto" w:fill="FFFFFF"/>
          </w:tcPr>
          <w:p>
            <w:r>
              <w:rPr>
                <w:sz w:val="18"/>
              </w:rPr>
              <w:t>On-Premises Faculty Desktops (802.1X)</w:t>
            </w:r>
          </w:p>
        </w:tc>
      </w:tr>
      <w:tr>
        <w:tc>
          <w:tcPr>
            <w:tcW w:type="dxa" w:w="2484"/>
            <w:shd w:val="clear" w:color="auto" w:fill="F8FAFC"/>
          </w:tcPr>
          <w:p>
            <w:r>
              <w:rPr>
                <w:sz w:val="18"/>
              </w:rPr>
              <w:t>Student &amp; Staff LAN</w:t>
            </w:r>
          </w:p>
        </w:tc>
        <w:tc>
          <w:tcPr>
            <w:tcW w:type="dxa" w:w="2484"/>
            <w:shd w:val="clear" w:color="auto" w:fill="F8FAFC"/>
          </w:tcPr>
          <w:p>
            <w:r>
              <w:rPr>
                <w:sz w:val="18"/>
              </w:rPr>
              <w:t>10.10.20.0/24</w:t>
            </w:r>
          </w:p>
        </w:tc>
        <w:tc>
          <w:tcPr>
            <w:tcW w:type="dxa" w:w="2484"/>
            <w:shd w:val="clear" w:color="auto" w:fill="F8FAFC"/>
          </w:tcPr>
          <w:p>
            <w:r>
              <w:rPr>
                <w:sz w:val="18"/>
              </w:rPr>
              <w:t>VLAN 20</w:t>
            </w:r>
          </w:p>
        </w:tc>
        <w:tc>
          <w:tcPr>
            <w:tcW w:type="dxa" w:w="2484"/>
            <w:shd w:val="clear" w:color="auto" w:fill="F8FAFC"/>
          </w:tcPr>
          <w:p>
            <w:r>
              <w:rPr>
                <w:sz w:val="18"/>
              </w:rPr>
              <w:t>General Campus traffic; DB probing restricted</w:t>
            </w:r>
          </w:p>
        </w:tc>
      </w:tr>
      <w:tr>
        <w:tc>
          <w:tcPr>
            <w:tcW w:type="dxa" w:w="2484"/>
            <w:shd w:val="clear" w:color="auto" w:fill="FFFFFF"/>
          </w:tcPr>
          <w:p>
            <w:r>
              <w:rPr>
                <w:sz w:val="18"/>
              </w:rPr>
              <w:t>On-Premises DC / OpenShift</w:t>
            </w:r>
          </w:p>
        </w:tc>
        <w:tc>
          <w:tcPr>
            <w:tcW w:type="dxa" w:w="2484"/>
            <w:shd w:val="clear" w:color="auto" w:fill="FFFFFF"/>
          </w:tcPr>
          <w:p>
            <w:r>
              <w:rPr>
                <w:sz w:val="18"/>
              </w:rPr>
              <w:t>10.10.30.0/24</w:t>
            </w:r>
          </w:p>
        </w:tc>
        <w:tc>
          <w:tcPr>
            <w:tcW w:type="dxa" w:w="2484"/>
            <w:shd w:val="clear" w:color="auto" w:fill="FFFFFF"/>
          </w:tcPr>
          <w:p>
            <w:r>
              <w:rPr>
                <w:sz w:val="18"/>
              </w:rPr>
              <w:t>VLAN 30</w:t>
            </w:r>
          </w:p>
        </w:tc>
        <w:tc>
          <w:tcPr>
            <w:tcW w:type="dxa" w:w="2484"/>
            <w:shd w:val="clear" w:color="auto" w:fill="FFFFFF"/>
          </w:tcPr>
          <w:p>
            <w:r>
              <w:rPr>
                <w:sz w:val="18"/>
              </w:rPr>
              <w:t>Private Data Center servers &amp; OpenShift</w:t>
            </w:r>
          </w:p>
        </w:tc>
      </w:tr>
      <w:tr>
        <w:tc>
          <w:tcPr>
            <w:tcW w:type="dxa" w:w="2484"/>
            <w:shd w:val="clear" w:color="auto" w:fill="F8FAFC"/>
          </w:tcPr>
          <w:p>
            <w:r>
              <w:rPr>
                <w:sz w:val="18"/>
              </w:rPr>
              <w:t>Network Management</w:t>
            </w:r>
          </w:p>
        </w:tc>
        <w:tc>
          <w:tcPr>
            <w:tcW w:type="dxa" w:w="2484"/>
            <w:shd w:val="clear" w:color="auto" w:fill="F8FAFC"/>
          </w:tcPr>
          <w:p>
            <w:r>
              <w:rPr>
                <w:sz w:val="18"/>
              </w:rPr>
              <w:t>10.10.99.0/24</w:t>
            </w:r>
          </w:p>
        </w:tc>
        <w:tc>
          <w:tcPr>
            <w:tcW w:type="dxa" w:w="2484"/>
            <w:shd w:val="clear" w:color="auto" w:fill="F8FAFC"/>
          </w:tcPr>
          <w:p>
            <w:r>
              <w:rPr>
                <w:sz w:val="18"/>
              </w:rPr>
              <w:t>VLAN 99</w:t>
            </w:r>
          </w:p>
        </w:tc>
        <w:tc>
          <w:tcPr>
            <w:tcW w:type="dxa" w:w="2484"/>
            <w:shd w:val="clear" w:color="auto" w:fill="F8FAFC"/>
          </w:tcPr>
          <w:p>
            <w:r>
              <w:rPr>
                <w:sz w:val="18"/>
              </w:rPr>
              <w:t>Out-of-band admin jumpboxes &amp; SSH</w:t>
            </w:r>
          </w:p>
        </w:tc>
      </w:tr>
      <w:tr>
        <w:tc>
          <w:tcPr>
            <w:tcW w:type="dxa" w:w="2484"/>
            <w:shd w:val="clear" w:color="auto" w:fill="FFFFFF"/>
          </w:tcPr>
          <w:p>
            <w:r>
              <w:rPr>
                <w:sz w:val="18"/>
              </w:rPr>
              <w:t>Faculty AnyConnect Pool</w:t>
            </w:r>
          </w:p>
        </w:tc>
        <w:tc>
          <w:tcPr>
            <w:tcW w:type="dxa" w:w="2484"/>
            <w:shd w:val="clear" w:color="auto" w:fill="FFFFFF"/>
          </w:tcPr>
          <w:p>
            <w:r>
              <w:rPr>
                <w:sz w:val="18"/>
              </w:rPr>
              <w:t>172.16.50.0/24</w:t>
            </w:r>
          </w:p>
        </w:tc>
        <w:tc>
          <w:tcPr>
            <w:tcW w:type="dxa" w:w="2484"/>
            <w:shd w:val="clear" w:color="auto" w:fill="FFFFFF"/>
          </w:tcPr>
          <w:p>
            <w:r>
              <w:rPr>
                <w:sz w:val="18"/>
              </w:rPr>
              <w:t>SSL VPN</w:t>
            </w:r>
          </w:p>
        </w:tc>
        <w:tc>
          <w:tcPr>
            <w:tcW w:type="dxa" w:w="2484"/>
            <w:shd w:val="clear" w:color="auto" w:fill="FFFFFF"/>
          </w:tcPr>
          <w:p>
            <w:r>
              <w:rPr>
                <w:sz w:val="18"/>
              </w:rPr>
              <w:t>Dynamic IP pool for remote ZTNA faculty</w:t>
            </w:r>
          </w:p>
        </w:tc>
      </w:tr>
      <w:tr>
        <w:tc>
          <w:tcPr>
            <w:tcW w:type="dxa" w:w="2484"/>
            <w:shd w:val="clear" w:color="auto" w:fill="F8FAFC"/>
          </w:tcPr>
          <w:p>
            <w:r>
              <w:rPr>
                <w:sz w:val="18"/>
              </w:rPr>
              <w:t>Enterprise Edge Outside</w:t>
            </w:r>
          </w:p>
        </w:tc>
        <w:tc>
          <w:tcPr>
            <w:tcW w:type="dxa" w:w="2484"/>
            <w:shd w:val="clear" w:color="auto" w:fill="F8FAFC"/>
          </w:tcPr>
          <w:p>
            <w:r>
              <w:rPr>
                <w:sz w:val="18"/>
              </w:rPr>
              <w:t>203.0.113.0/30</w:t>
            </w:r>
          </w:p>
        </w:tc>
        <w:tc>
          <w:tcPr>
            <w:tcW w:type="dxa" w:w="2484"/>
            <w:shd w:val="clear" w:color="auto" w:fill="F8FAFC"/>
          </w:tcPr>
          <w:p>
            <w:r>
              <w:rPr>
                <w:sz w:val="18"/>
              </w:rPr>
              <w:t>Outside (0)</w:t>
            </w:r>
          </w:p>
        </w:tc>
        <w:tc>
          <w:tcPr>
            <w:tcW w:type="dxa" w:w="2484"/>
            <w:shd w:val="clear" w:color="auto" w:fill="F8FAFC"/>
          </w:tcPr>
          <w:p>
            <w:r>
              <w:rPr>
                <w:sz w:val="18"/>
              </w:rPr>
              <w:t>Cisco ASA Public IP (203.0.113.2)</w:t>
            </w:r>
          </w:p>
        </w:tc>
      </w:tr>
      <w:tr>
        <w:tc>
          <w:tcPr>
            <w:tcW w:type="dxa" w:w="2484"/>
            <w:shd w:val="clear" w:color="auto" w:fill="FFFFFF"/>
          </w:tcPr>
          <w:p>
            <w:r>
              <w:rPr>
                <w:sz w:val="18"/>
              </w:rPr>
              <w:t>Cloud Transit WAN Edge</w:t>
            </w:r>
          </w:p>
        </w:tc>
        <w:tc>
          <w:tcPr>
            <w:tcW w:type="dxa" w:w="2484"/>
            <w:shd w:val="clear" w:color="auto" w:fill="FFFFFF"/>
          </w:tcPr>
          <w:p>
            <w:r>
              <w:rPr>
                <w:sz w:val="18"/>
              </w:rPr>
              <w:t>198.51.100.0/30</w:t>
            </w:r>
          </w:p>
        </w:tc>
        <w:tc>
          <w:tcPr>
            <w:tcW w:type="dxa" w:w="2484"/>
            <w:shd w:val="clear" w:color="auto" w:fill="FFFFFF"/>
          </w:tcPr>
          <w:p>
            <w:r>
              <w:rPr>
                <w:sz w:val="18"/>
              </w:rPr>
              <w:t>Cloud WAN</w:t>
            </w:r>
          </w:p>
        </w:tc>
        <w:tc>
          <w:tcPr>
            <w:tcW w:type="dxa" w:w="2484"/>
            <w:shd w:val="clear" w:color="auto" w:fill="FFFFFF"/>
          </w:tcPr>
          <w:p>
            <w:r>
              <w:rPr>
                <w:sz w:val="18"/>
              </w:rPr>
              <w:t>Cloud Transit Gateway (198.51.100.2)</w:t>
            </w:r>
          </w:p>
        </w:tc>
      </w:tr>
      <w:tr>
        <w:tc>
          <w:tcPr>
            <w:tcW w:type="dxa" w:w="2484"/>
            <w:shd w:val="clear" w:color="auto" w:fill="F8FAFC"/>
          </w:tcPr>
          <w:p>
            <w:r>
              <w:rPr>
                <w:sz w:val="18"/>
              </w:rPr>
              <w:t>Cloud Tier 1 (ALB / Ingress)</w:t>
            </w:r>
          </w:p>
        </w:tc>
        <w:tc>
          <w:tcPr>
            <w:tcW w:type="dxa" w:w="2484"/>
            <w:shd w:val="clear" w:color="auto" w:fill="F8FAFC"/>
          </w:tcPr>
          <w:p>
            <w:r>
              <w:rPr>
                <w:sz w:val="18"/>
              </w:rPr>
              <w:t>172.20.1.0/24</w:t>
            </w:r>
          </w:p>
        </w:tc>
        <w:tc>
          <w:tcPr>
            <w:tcW w:type="dxa" w:w="2484"/>
            <w:shd w:val="clear" w:color="auto" w:fill="F8FAFC"/>
          </w:tcPr>
          <w:p>
            <w:r>
              <w:rPr>
                <w:sz w:val="18"/>
              </w:rPr>
              <w:t>Public Subnet</w:t>
            </w:r>
          </w:p>
        </w:tc>
        <w:tc>
          <w:tcPr>
            <w:tcW w:type="dxa" w:w="2484"/>
            <w:shd w:val="clear" w:color="auto" w:fill="F8FAFC"/>
          </w:tcPr>
          <w:p>
            <w:r>
              <w:rPr>
                <w:sz w:val="18"/>
              </w:rPr>
              <w:t>AWS Application Load Balancers &amp; WAF</w:t>
            </w:r>
          </w:p>
        </w:tc>
      </w:tr>
      <w:tr>
        <w:tc>
          <w:tcPr>
            <w:tcW w:type="dxa" w:w="2484"/>
            <w:shd w:val="clear" w:color="auto" w:fill="FFFFFF"/>
          </w:tcPr>
          <w:p>
            <w:r>
              <w:rPr>
                <w:sz w:val="18"/>
              </w:rPr>
              <w:t>Cloud Tier 2 (EKS Microservices)</w:t>
            </w:r>
          </w:p>
        </w:tc>
        <w:tc>
          <w:tcPr>
            <w:tcW w:type="dxa" w:w="2484"/>
            <w:shd w:val="clear" w:color="auto" w:fill="FFFFFF"/>
          </w:tcPr>
          <w:p>
            <w:r>
              <w:rPr>
                <w:sz w:val="18"/>
              </w:rPr>
              <w:t>172.20.2.0/24</w:t>
            </w:r>
          </w:p>
        </w:tc>
        <w:tc>
          <w:tcPr>
            <w:tcW w:type="dxa" w:w="2484"/>
            <w:shd w:val="clear" w:color="auto" w:fill="FFFFFF"/>
          </w:tcPr>
          <w:p>
            <w:r>
              <w:rPr>
                <w:sz w:val="18"/>
              </w:rPr>
              <w:t>Private Subnet</w:t>
            </w:r>
          </w:p>
        </w:tc>
        <w:tc>
          <w:tcPr>
            <w:tcW w:type="dxa" w:w="2484"/>
            <w:shd w:val="clear" w:color="auto" w:fill="FFFFFF"/>
          </w:tcPr>
          <w:p>
            <w:r>
              <w:rPr>
                <w:sz w:val="18"/>
              </w:rPr>
              <w:t>Container worker nodes; zero public IP</w:t>
            </w:r>
          </w:p>
        </w:tc>
      </w:tr>
      <w:tr>
        <w:tc>
          <w:tcPr>
            <w:tcW w:type="dxa" w:w="2484"/>
            <w:shd w:val="clear" w:color="auto" w:fill="F8FAFC"/>
          </w:tcPr>
          <w:p>
            <w:r>
              <w:rPr>
                <w:sz w:val="18"/>
              </w:rPr>
              <w:t>Cloud Tier 3 (Isolated DB)</w:t>
            </w:r>
          </w:p>
        </w:tc>
        <w:tc>
          <w:tcPr>
            <w:tcW w:type="dxa" w:w="2484"/>
            <w:shd w:val="clear" w:color="auto" w:fill="F8FAFC"/>
          </w:tcPr>
          <w:p>
            <w:r>
              <w:rPr>
                <w:sz w:val="18"/>
              </w:rPr>
              <w:t>172.20.3.0/24</w:t>
            </w:r>
          </w:p>
        </w:tc>
        <w:tc>
          <w:tcPr>
            <w:tcW w:type="dxa" w:w="2484"/>
            <w:shd w:val="clear" w:color="auto" w:fill="F8FAFC"/>
          </w:tcPr>
          <w:p>
            <w:r>
              <w:rPr>
                <w:sz w:val="18"/>
              </w:rPr>
              <w:t>Isolated Subnet</w:t>
            </w:r>
          </w:p>
        </w:tc>
        <w:tc>
          <w:tcPr>
            <w:tcW w:type="dxa" w:w="2484"/>
            <w:shd w:val="clear" w:color="auto" w:fill="F8FAFC"/>
          </w:tcPr>
          <w:p>
            <w:r>
              <w:rPr>
                <w:sz w:val="18"/>
              </w:rPr>
              <w:t>Managed DB (RDS); zero internet routing</w:t>
            </w:r>
          </w:p>
        </w:tc>
      </w:tr>
    </w:tbl>
    <w:p/>
    <w:p>
      <w:pPr>
        <w:pStyle w:val="Heading1"/>
      </w:pPr>
      <w:r>
        <w:rPr>
          <w:color w:val="005073"/>
        </w:rPr>
        <w:t>4. Cloud Security Groups &amp; IAM Architecture</w:t>
      </w:r>
    </w:p>
    <w:p>
      <w:r>
        <w:t>To mitigate lateral attack propagation across cloud workloads, the architecture implements two foundational controls:</w:t>
        <w:br/>
        <w:t>1. SG-to-SG Referencing: Security groups reference peer Security Group IDs rather than CIDR blocks. Inbound traffic to the EKS Microservices tier is accepted ONLY if originating from the ALB Security Group (sg-prod-ingress-alb) on port 8080. Database ingress is strictly permitted ONLY from sg-prod-eks-microservices on port 5432.</w:t>
        <w:br/>
        <w:t>2. EKS IAM Roles for Service Accounts (IRSA): Microservice pods authenticate to AWS services using temporary, cryptographic STS tokens issued via OIDC federation. No static access keys exist inside containers, neutralizing credential theft risk.</w:t>
      </w:r>
    </w:p>
    <w:p>
      <w:pPr>
        <w:pStyle w:val="Heading1"/>
      </w:pPr>
      <w:r>
        <w:rPr>
          <w:color w:val="005073"/>
        </w:rPr>
        <w:t>5. Container &amp; Kubernetes Security (OpenShift / EKS)</w:t>
      </w:r>
    </w:p>
    <w:p>
      <w:r>
        <w:t>• Calico CNI Default-Deny: A baseline NetworkPolicy drops all ingress and egress traffic by default in the production namespace. Explicit rules permit only frontend-to-backend and backend-to-database communication.</w:t>
        <w:br/>
        <w:t>• Pod Security Standards (PSS): Enforces the 'Restricted' profile requiring containers to run as non-root (UID 10001), with read-only root filesystems, dropped Linux capabilities (drop ALL), and default seccomp profiles.</w:t>
        <w:br/>
        <w:t>• Istio Service Mesh mTLS: Enforces STRICT mutual TLS 1.3 encryption for all pod-to-pod streams with SPIFFE cryptographic X.509 identity validation and method-level AuthorizationPolicy rules.</w:t>
      </w:r>
    </w:p>
    <w:p>
      <w:pPr>
        <w:pStyle w:val="Heading1"/>
      </w:pPr>
      <w:r>
        <w:rPr>
          <w:color w:val="005073"/>
        </w:rPr>
        <w:t>6. Secure Remote Faculty Access (ZTNA)</w:t>
      </w:r>
    </w:p>
    <w:p>
      <w:r>
        <w:t>Faculty members connecting from home or campus utilize Cisco AnyConnect / Cisco Secure Client with Zero Trust Network Access:</w:t>
        <w:br/>
        <w:t>• Cisco Duo MFA: Mandatory out-of-band push verification or FIDO2 hardware token.</w:t>
        <w:br/>
        <w:t>• Cisco ISE Posture Validation: Verifies OS patch level, BitLocker/FileVault disk encryption, and active Cisco Secure Endpoint EDR prior to granting network access.</w:t>
        <w:br/>
        <w:t>• Optimized Split-Tunneling: Only enterprise campus and cloud VPC subnets are routed across the encrypted tunnel, preserving institutional bandwidth for video conferencing and personal traffic.</w:t>
      </w:r>
    </w:p>
    <w:p>
      <w:pPr>
        <w:pStyle w:val="Heading1"/>
      </w:pPr>
      <w:r>
        <w:rPr>
          <w:color w:val="005073"/>
        </w:rPr>
        <w:t>7. Multi-Stakeholder Collaboration &amp; DevSecOps</w:t>
      </w:r>
    </w:p>
    <w:p>
      <w:r>
        <w:t>A clear RACI governance model coordinates Application Developers, Network Designers, Kubernetes Platform Engineers, and Security Teams. The automated CI/CD pipeline enforces 4 strict security gates (Semgrep SAST, Checkov IaC scanning, Trivy container CVE scanning, and Cosign image signing) before ArgoCD GitOps synchronizes code to production.</w:t>
      </w:r>
    </w:p>
    <w:p>
      <w:pPr>
        <w:pStyle w:val="Heading1"/>
      </w:pPr>
      <w:r>
        <w:rPr>
          <w:color w:val="005073"/>
        </w:rPr>
        <w:t>8. Architectural Evaluation: Simplicity, Security &amp; Scale</w:t>
      </w:r>
    </w:p>
    <w:p>
      <w:r>
        <w:t>• Simplicity: Transit Gateway hub eliminates full-mesh complexity; declarative GitOps and unified SSO streamline operations.</w:t>
        <w:br/>
        <w:t>• Security: Defense-in-depth across physical, virtual, and container layers with zero static credentials and micro-segmented blast radius.</w:t>
        <w:br/>
        <w:t>• Scale: Linear scalability supporting thousands of microservice pods and up to 50 Gbps throughput per VPC attachment without redesign.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