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8. Project Demonstration</w:t>
            </w:r>
          </w:p>
        </w:tc>
      </w:tr>
    </w:tbl>
    <w:p>
      <w:r>
        <w:br/>
      </w:r>
    </w:p>
    <w:p>
      <w:pPr>
        <w:pStyle w:val="Heading1"/>
      </w:pPr>
      <w:r>
        <w:t>Demonstration Prep &amp; Guidelines</w:t>
      </w:r>
    </w:p>
    <w:p>
      <w:r>
        <w:t>Core Presenting Guidelines:</w:t>
        <w:br/>
        <w:t>1. Emphasize that automated ML evaluations reduce processing times to sub-200ms.</w:t>
        <w:br/>
        <w:t>2. Explain that the feature Credit_History carries the highest weight coefficient (0.32).</w:t>
        <w:br/>
        <w:t>3. Describe how rules vetoes protect banks from credit defaults.</w:t>
      </w:r>
    </w:p>
    <w:p>
      <w:pPr>
        <w:pStyle w:val="Heading1"/>
      </w:pPr>
      <w:r>
        <w:t>Communication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Interaction Date</w:t>
            </w:r>
          </w:p>
        </w:tc>
        <w:tc>
          <w:tcPr>
            <w:tcW w:type="dxa" w:w="2160"/>
          </w:tcPr>
          <w:p>
            <w:r>
              <w:t>Audience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10 March 2026</w:t>
            </w:r>
          </w:p>
        </w:tc>
        <w:tc>
          <w:tcPr>
            <w:tcW w:type="dxa" w:w="2160"/>
          </w:tcPr>
          <w:p>
            <w:r>
              <w:t>SmartBridge Mentor</w:t>
            </w:r>
          </w:p>
        </w:tc>
        <w:tc>
          <w:tcPr>
            <w:tcW w:type="dxa" w:w="2160"/>
          </w:tcPr>
          <w:p>
            <w:r>
              <w:t>Validate underwriting rules limits</w:t>
            </w:r>
          </w:p>
        </w:tc>
        <w:tc>
          <w:tcPr>
            <w:tcW w:type="dxa" w:w="2160"/>
          </w:tcPr>
          <w:p>
            <w:r>
              <w:t>DTI ceiling approved at 85%.</w:t>
            </w:r>
          </w:p>
        </w:tc>
      </w:tr>
      <w:tr>
        <w:tc>
          <w:tcPr>
            <w:tcW w:type="dxa" w:w="2160"/>
          </w:tcPr>
          <w:p>
            <w:r>
              <w:t>14 March 2026</w:t>
            </w:r>
          </w:p>
        </w:tc>
        <w:tc>
          <w:tcPr>
            <w:tcW w:type="dxa" w:w="2160"/>
          </w:tcPr>
          <w:p>
            <w:r>
              <w:t>Developer Team</w:t>
            </w:r>
          </w:p>
        </w:tc>
        <w:tc>
          <w:tcPr>
            <w:tcW w:type="dxa" w:w="2160"/>
          </w:tcPr>
          <w:p>
            <w:r>
              <w:t>Sprint planning synchronizations</w:t>
            </w:r>
          </w:p>
        </w:tc>
        <w:tc>
          <w:tcPr>
            <w:tcW w:type="dxa" w:w="2160"/>
          </w:tcPr>
          <w:p>
            <w:r>
              <w:t>Aligned LabelEncoder mappings.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