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A3A6B"/>
          <w:sz w:val="52"/>
          <w:szCs w:val="52"/>
        </w:rPr>
        <w:t xml:space="preserve">RAKSHAK K9</w:t>
      </w:r>
    </w:p>
    <w:p>
      <w:pPr>
        <w:spacing w:after="80" w:before="0"/>
        <w:jc w:val="center"/>
      </w:pPr>
      <w:r>
        <w:rPr>
          <w:b/>
          <w:bCs/>
          <w:color w:val="1B5E20"/>
          <w:sz w:val="32"/>
          <w:szCs w:val="32"/>
        </w:rPr>
        <w:t xml:space="preserve">On-Board Black-Box Detection Module</w:t>
      </w:r>
    </w:p>
    <w:p>
      <w:pPr>
        <w:spacing w:after="480" w:before="0"/>
        <w:jc w:val="center"/>
      </w:pPr>
      <w:r>
        <w:rPr>
          <w:color w:val="555555"/>
          <w:sz w:val="26"/>
          <w:szCs w:val="26"/>
        </w:rPr>
        <w:t xml:space="preserve">Detailed Technical Report</w:t>
      </w:r>
    </w:p>
    <w:p>
      <w:pPr>
        <w:pBdr>
          <w:bottom w:val="single" w:color="1A3A6B" w:sz="6"/>
        </w:pBdr>
        <w:spacing w:after="120" w:before="120"/>
      </w:pPr>
    </w:p>
    <w:p>
      <w:pPr>
        <w:spacing w:after="80" w:before="120"/>
        <w:jc w:val="center"/>
      </w:pPr>
      <w:r>
        <w:rPr>
          <w:i/>
          <w:iCs/>
          <w:color w:val="333333"/>
          <w:sz w:val="24"/>
          <w:szCs w:val="24"/>
        </w:rPr>
        <w:t xml:space="preserve">Detection Principle: DCM Fluorescence Quenching</w:t>
      </w:r>
    </w:p>
    <w:p>
      <w:pPr>
        <w:spacing w:after="80" w:before="0"/>
        <w:jc w:val="center"/>
      </w:pPr>
      <w:r>
        <w:rPr>
          <w:color w:val="555555"/>
          <w:sz w:val="22"/>
          <w:szCs w:val="22"/>
        </w:rPr>
        <w:t xml:space="preserve">Reference Paper: Wang et al., Scientific Reports 6:25015 (2016)</w:t>
      </w:r>
    </w:p>
    <w:p>
      <w:pPr>
        <w:spacing w:after="480" w:before="0"/>
        <w:jc w:val="center"/>
      </w:pPr>
      <w:r>
        <w:rPr>
          <w:color w:val="555555"/>
          <w:sz w:val="22"/>
          <w:szCs w:val="22"/>
        </w:rPr>
        <w:t xml:space="preserve">DOI: 10.1038/srep25015</w:t>
      </w:r>
    </w:p>
    <w:p>
      <w:pPr>
        <w:spacing w:after="120" w:before="0"/>
        <w:jc w:val="center"/>
      </w:pPr>
      <w:r>
        <w:rPr>
          <w:b/>
          <w:bCs/>
          <w:color w:val="1A3A6B"/>
          <w:sz w:val="22"/>
          <w:szCs w:val="22"/>
        </w:rPr>
        <w:t xml:space="preserve">Smart India Hackathon 2026  |  SIH26026  |  Team: Cyber Renegades</w:t>
      </w:r>
    </w:p>
    <w:p>
      <w:r>
        <w:br w:type="page"/>
      </w:r>
    </w:p>
    <w:p>
      <w:pPr>
        <w:pStyle w:val="Heading1"/>
        <w:spacing w:after="160" w:before="320"/>
        <w:rPr>
          <w:b/>
          <w:bCs/>
          <w:color w:val="1A3A6B"/>
          <w:sz w:val="28"/>
          <w:szCs w:val="28"/>
        </w:rPr>
      </w:pPr>
      <w:r>
        <w:t xml:space="preserve">1. Overview and Purpose</w:t>
      </w:r>
    </w:p>
    <w:p>
      <w:pPr>
        <w:pBdr>
          <w:bottom w:val="single" w:color="1A3A6B" w:sz="6"/>
        </w:pBdr>
        <w:spacing w:after="120" w:before="120"/>
      </w:pPr>
    </w:p>
    <w:p>
      <w:pPr>
        <w:spacing w:after="80" w:before="80"/>
        <w:jc w:val="both"/>
      </w:pPr>
      <w:r>
        <w:rPr>
          <w:b w:val="false"/>
          <w:bCs w:val="false"/>
          <w:color w:val="000000"/>
          <w:sz w:val="22"/>
          <w:szCs w:val="22"/>
        </w:rPr>
        <w:t xml:space="preserve">The Black-Box Detection Module is an on-board, sealed confirmation chamber integrated into the RAKSHAK K9 robot. Its purpose is to provide rapid, on-site chemical confirmation of explosive residue — specifically targeting the non-volatile military-grade explosives RDX, HMX, and PETN — after the robot's primary sensor fusion system has already flagged an object as suspicious.</w:t>
      </w:r>
    </w:p>
    <w:p>
      <w:pPr>
        <w:spacing w:after="80" w:before="80"/>
        <w:jc w:val="both"/>
      </w:pPr>
      <w:r>
        <w:rPr>
          <w:b w:val="false"/>
          <w:bCs w:val="false"/>
          <w:color w:val="000000"/>
          <w:sz w:val="22"/>
          <w:szCs w:val="22"/>
        </w:rPr>
        <w:t xml:space="preserve">This module is directly grounded in a peer-reviewed detection method published in Scientific Reports (2016) by Wang et al., which demonstrated sub-nanogram detection of RDX, HMX, and PETN using a fluorescence quenching approach based on the DCM fluorophore molecule. The same principle has been adapted here into a compact, field-deployable format operated by RPF personnel.</w:t>
      </w:r>
    </w:p>
    <w:p>
      <w:pPr>
        <w:spacing w:after="60" w:before="160"/>
      </w:pPr>
      <w:r>
        <w:rPr>
          <w:b/>
          <w:bCs/>
          <w:color w:val="1A3A6B"/>
          <w:sz w:val="22"/>
          <w:szCs w:val="22"/>
        </w:rPr>
        <w:t xml:space="preserve">Why this approach was chosen</w:t>
      </w:r>
    </w:p>
    <w:p>
      <w:pPr>
        <w:pStyle w:val="ListParagraph"/>
        <w:numPr>
          <w:ilvl w:val="0"/>
          <w:numId w:val="1"/>
        </w:numPr>
        <w:spacing w:after="40" w:before="40"/>
        <w:ind w:left="720"/>
      </w:pPr>
      <w:r>
        <w:rPr>
          <w:sz w:val="22"/>
          <w:szCs w:val="22"/>
        </w:rPr>
        <w:t xml:space="preserve">RDX, HMX, and PETN are non-volatile — conventional gas/VOC sensors cannot reliably detect them</w:t>
      </w:r>
    </w:p>
    <w:p>
      <w:pPr>
        <w:pStyle w:val="ListParagraph"/>
        <w:numPr>
          <w:ilvl w:val="0"/>
          <w:numId w:val="1"/>
        </w:numPr>
        <w:spacing w:after="40" w:before="40"/>
        <w:ind w:left="720"/>
      </w:pPr>
      <w:r>
        <w:rPr>
          <w:sz w:val="22"/>
          <w:szCs w:val="22"/>
        </w:rPr>
        <w:t xml:space="preserve">Standard lab methods (NQR, IMS, Raman) are too expensive and non-portable for field use</w:t>
      </w:r>
    </w:p>
    <w:p>
      <w:pPr>
        <w:pStyle w:val="ListParagraph"/>
        <w:numPr>
          <w:ilvl w:val="0"/>
          <w:numId w:val="1"/>
        </w:numPr>
        <w:spacing w:after="40" w:before="40"/>
        <w:ind w:left="720"/>
      </w:pPr>
      <w:r>
        <w:rPr>
          <w:sz w:val="22"/>
          <w:szCs w:val="22"/>
        </w:rPr>
        <w:t xml:space="preserve">DCM fluorescence quenching is low-cost (under $100/gram), highly selective, and operable within 1–2 minutes</w:t>
      </w:r>
    </w:p>
    <w:p>
      <w:pPr>
        <w:pStyle w:val="ListParagraph"/>
        <w:numPr>
          <w:ilvl w:val="0"/>
          <w:numId w:val="1"/>
        </w:numPr>
        <w:spacing w:after="40" w:before="40"/>
        <w:ind w:left="720"/>
      </w:pPr>
      <w:r>
        <w:rPr>
          <w:sz w:val="22"/>
          <w:szCs w:val="22"/>
        </w:rPr>
        <w:t xml:space="preserve">The test can be performed by an RPF officer with no specialist chemistry training</w:t>
      </w:r>
    </w:p>
    <w:p>
      <w:pPr>
        <w:pStyle w:val="ListParagraph"/>
        <w:numPr>
          <w:ilvl w:val="0"/>
          <w:numId w:val="1"/>
        </w:numPr>
        <w:spacing w:after="40" w:before="40"/>
        <w:ind w:left="720"/>
      </w:pPr>
      <w:r>
        <w:rPr>
          <w:sz w:val="22"/>
          <w:szCs w:val="22"/>
        </w:rPr>
        <w:t xml:space="preserve">Results are readable both by photosensor (automated) and by naked eye (visual backup)</w:t>
      </w:r>
    </w:p>
    <w:p>
      <w:pPr>
        <w:pStyle w:val="Heading1"/>
        <w:spacing w:after="160" w:before="320"/>
        <w:rPr>
          <w:b/>
          <w:bCs/>
          <w:color w:val="1A3A6B"/>
          <w:sz w:val="28"/>
          <w:szCs w:val="28"/>
        </w:rPr>
      </w:pPr>
      <w:r>
        <w:t xml:space="preserve">2. The Detection Chemistry — DCM Fluorescence Quenching</w:t>
      </w:r>
    </w:p>
    <w:p>
      <w:pPr>
        <w:pBdr>
          <w:bottom w:val="single" w:color="1A3A6B" w:sz="6"/>
        </w:pBdr>
        <w:spacing w:after="120" w:before="120"/>
      </w:pPr>
    </w:p>
    <w:p>
      <w:pPr>
        <w:pStyle w:val="Heading2"/>
        <w:spacing w:after="120" w:before="240"/>
        <w:rPr>
          <w:b/>
          <w:bCs/>
          <w:color w:val="1B5E20"/>
          <w:sz w:val="24"/>
          <w:szCs w:val="24"/>
        </w:rPr>
      </w:pPr>
      <w:r>
        <w:t xml:space="preserve">2.1  What is DCM?</w:t>
      </w:r>
    </w:p>
    <w:p>
      <w:pPr>
        <w:spacing w:after="80" w:before="80"/>
        <w:jc w:val="both"/>
      </w:pPr>
      <w:r>
        <w:rPr>
          <w:b w:val="false"/>
          <w:bCs w:val="false"/>
          <w:color w:val="000000"/>
          <w:sz w:val="22"/>
          <w:szCs w:val="22"/>
        </w:rPr>
        <w:t xml:space="preserve">The sensor molecule is DCM — 4-(dicyanomethylene)-2-methyl-6-(4-dimethylaminostyryl)-4H-pyran. It is a charge-transfer fluorophore with a push-pull electronic structure: an electron-donating group (dimethylamino) at one end and electron-withdrawing groups (dicyanomethylene) at the other, connected by a conjugated styrene bridge.</w:t>
      </w:r>
    </w:p>
    <w:p>
      <w:pPr>
        <w:spacing w:after="80" w:before="80"/>
        <w:jc w:val="both"/>
      </w:pPr>
      <w:r>
        <w:rPr>
          <w:b w:val="false"/>
          <w:bCs w:val="false"/>
          <w:color w:val="000000"/>
          <w:sz w:val="22"/>
          <w:szCs w:val="22"/>
        </w:rPr>
        <w:t xml:space="preserve">In its pristine state, DCM is strongly fluorescent — it glows red-orange under UV excitation, with a fluorescence quantum yield of 15% in solid state and an emission peak around 620nm. This bright initial signal is essential, because the detection works by measuring how much this glow is reduced (quenched) when explosive residue is present.</w:t>
      </w:r>
    </w:p>
    <w:p>
      <w:pPr>
        <w:pStyle w:val="Heading2"/>
        <w:spacing w:after="120" w:before="240"/>
        <w:rPr>
          <w:b/>
          <w:bCs/>
          <w:color w:val="1B5E20"/>
          <w:sz w:val="24"/>
          <w:szCs w:val="24"/>
        </w:rPr>
      </w:pPr>
      <w:r>
        <w:t xml:space="preserve">2.2  How does UV light trigger the reaction?</w:t>
      </w:r>
    </w:p>
    <w:p>
      <w:pPr>
        <w:spacing w:after="80" w:before="80"/>
        <w:jc w:val="both"/>
      </w:pPr>
      <w:r>
        <w:rPr>
          <w:b w:val="false"/>
          <w:bCs w:val="false"/>
          <w:color w:val="000000"/>
          <w:sz w:val="22"/>
          <w:szCs w:val="22"/>
        </w:rPr>
        <w:t xml:space="preserve">RDX and HMX undergo photolysis under UV irradiation (254nm), generating the highly reactive nitrite radical species NO₂·. PETN similarly undergoes photolysis but generates the nitrite cation NO₂⁺ instead. Both of these species — NO₂· and NO₂⁺ — are the key reactive intermediates that drive the detection reaction.</w:t>
      </w:r>
    </w:p>
    <w:p>
      <w:pPr>
        <w:shd w:fill="D6EAF8" w:val="clear"/>
        <w:spacing w:after="80" w:before="80"/>
        <w:ind w:left="720" w:right="720"/>
      </w:pPr>
      <w:r>
        <w:rPr>
          <w:i/>
          <w:iCs/>
          <w:sz w:val="22"/>
          <w:szCs w:val="22"/>
        </w:rPr>
        <w:t xml:space="preserve">RDX (HMX)  +  UV (≤ 365nm)  →  NO₂·  (nitrite radical)
PETN  +  UV (≤ 365nm)  →  NO₂⁺  (nitrite cation)</w:t>
      </w:r>
    </w:p>
    <w:p>
      <w:pPr>
        <w:pStyle w:val="Heading2"/>
        <w:spacing w:after="120" w:before="240"/>
        <w:rPr>
          <w:b/>
          <w:bCs/>
          <w:color w:val="1B5E20"/>
          <w:sz w:val="24"/>
          <w:szCs w:val="24"/>
        </w:rPr>
      </w:pPr>
      <w:r>
        <w:t xml:space="preserve">2.3  How does quenching happen?</w:t>
      </w:r>
    </w:p>
    <w:p>
      <w:pPr>
        <w:spacing w:after="80" w:before="80"/>
        <w:jc w:val="both"/>
      </w:pPr>
      <w:r>
        <w:rPr>
          <w:b w:val="false"/>
          <w:bCs w:val="false"/>
          <w:color w:val="000000"/>
          <w:sz w:val="22"/>
          <w:szCs w:val="22"/>
        </w:rPr>
        <w:t xml:space="preserve">The reactive NO₂· or NO₂⁺ species produced from UV photolysis reacts quickly with the DCM molecule. This reaction is a mono-substitution at the 'c' hydrogen position on DCM's conjugated styrene part — the site with the highest negative charge density according to DFT calculations. The substitution of -NO₂ at this position destroys DCM's push-pull electronic structure, converting it from DCM to DCM-NO₂.</w:t>
      </w:r>
    </w:p>
    <w:p>
      <w:pPr>
        <w:spacing w:after="80" w:before="80"/>
        <w:jc w:val="both"/>
      </w:pPr>
      <w:r>
        <w:rPr>
          <w:b w:val="false"/>
          <w:bCs w:val="false"/>
          <w:color w:val="000000"/>
          <w:sz w:val="22"/>
          <w:szCs w:val="22"/>
        </w:rPr>
        <w:t xml:space="preserve">DCM-NO₂ has a fluorescence quantum yield of less than 0.1% — essentially non-fluorescent. This represents a two-orders-of-magnitude reduction in fluorescence intensity, making the quenching signal extremely clear and measurable.</w:t>
      </w:r>
    </w:p>
    <w:p>
      <w:pPr>
        <w:shd w:fill="E8F8F0" w:val="clear"/>
        <w:spacing w:after="80" w:before="80"/>
        <w:ind w:left="720" w:right="720"/>
      </w:pPr>
      <w:r>
        <w:rPr>
          <w:i/>
          <w:iCs/>
          <w:sz w:val="22"/>
          <w:szCs w:val="22"/>
        </w:rPr>
        <w:t xml:space="preserve">DCM (strongly fluorescent)  +  NO₂·/NO₂⁺  →  DCM-NO₂ (non-fluorescent)
Result: The red-orange glow disappears wherever explosive is present.</w:t>
      </w:r>
    </w:p>
    <w:p>
      <w:pPr>
        <w:pStyle w:val="Heading2"/>
        <w:spacing w:after="120" w:before="240"/>
        <w:rPr>
          <w:b/>
          <w:bCs/>
          <w:color w:val="1B5E20"/>
          <w:sz w:val="24"/>
          <w:szCs w:val="24"/>
        </w:rPr>
      </w:pPr>
      <w:r>
        <w:t xml:space="preserve">2.4  Why is this reaction selective for RDX, HMX, PETN?</w:t>
      </w:r>
    </w:p>
    <w:p>
      <w:pPr>
        <w:spacing w:after="80" w:before="80"/>
        <w:jc w:val="both"/>
      </w:pPr>
      <w:r>
        <w:rPr>
          <w:b w:val="false"/>
          <w:bCs w:val="false"/>
          <w:color w:val="000000"/>
          <w:sz w:val="22"/>
          <w:szCs w:val="22"/>
        </w:rPr>
        <w:t xml:space="preserve">The key to selectivity is the reaction pathway itself. The detection only works through the specific addition of NO₂· or NO₂⁺ to DCM — and these reactive species are only generated by the UV photolysis of RDX, HMX, and PETN, not by common nitroaromatic explosives like TNT or DNT, inorganic oxidatives like KNO₃ or KClO₃, or other common benign compounds.</w:t>
      </w:r>
    </w:p>
    <w:p>
      <w:pPr>
        <w:spacing w:after="80" w:before="80"/>
        <w:jc w:val="both"/>
      </w:pPr>
      <w:r>
        <w:rPr>
          <w:b w:val="false"/>
          <w:bCs w:val="false"/>
          <w:color w:val="000000"/>
          <w:sz w:val="22"/>
          <w:szCs w:val="22"/>
        </w:rPr>
        <w:t xml:space="preserve">The Wang et al. paper specifically tested eight potential interfering compounds — including TNT, DNT, KNO₃, KClO₃, urea, and others — and found no significant fluorescence quenching for any of them at equal molar concentrations, while the same amount of RDX produced dramatic quenching. This high selectivity is what justifies using DCM as a confirmatory test rather than just a screening test.</w:t>
      </w:r>
    </w:p>
    <w:p>
      <w:pPr>
        <w:pStyle w:val="Heading1"/>
        <w:spacing w:after="160" w:before="320"/>
        <w:rPr>
          <w:b/>
          <w:bCs/>
          <w:color w:val="1A3A6B"/>
          <w:sz w:val="28"/>
          <w:szCs w:val="28"/>
        </w:rPr>
      </w:pPr>
      <w:r>
        <w:t xml:space="preserve">3. Sensitivity and Detection Limits</w:t>
      </w:r>
    </w:p>
    <w:p>
      <w:pPr>
        <w:pBdr>
          <w:bottom w:val="single" w:color="1A3A6B" w:sz="6"/>
        </w:pBdr>
        <w:spacing w:after="120" w:before="120"/>
      </w:pPr>
    </w:p>
    <w:p>
      <w:pPr>
        <w:spacing w:after="80" w:before="80"/>
        <w:jc w:val="both"/>
      </w:pPr>
      <w:r>
        <w:rPr>
          <w:b w:val="false"/>
          <w:bCs w:val="false"/>
          <w:color w:val="000000"/>
          <w:sz w:val="22"/>
          <w:szCs w:val="22"/>
        </w:rPr>
        <w:t xml:space="preserve">The DCM fluo-spot sensor achieves sub-nanogram detection limits when fabricated on silica gel TLC plate, which provides a large surface area and porous structure to maximize the solid-phase reaction efficiency between DCM and the explosive residue.</w:t>
      </w:r>
    </w:p>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400"/>
      </w:tblGrid>
      <w:tr>
        <w:tc>
          <w:tcPr>
            <w:tcW w:type="dxa" w:w="2200"/>
            <w:shd w:fill="1A3A6B" w:val="clear"/>
          </w:tcPr>
          <w:p>
            <w:pPr>
              <w:spacing w:after="60" w:before="60"/>
              <w:jc w:val="center"/>
            </w:pPr>
            <w:r>
              <w:rPr>
                <w:b/>
                <w:bCs/>
                <w:color w:val="FFFFFF"/>
                <w:sz w:val="20"/>
                <w:szCs w:val="20"/>
              </w:rPr>
              <w:t xml:space="preserve">Explosive</w:t>
            </w:r>
          </w:p>
        </w:tc>
        <w:tc>
          <w:tcPr>
            <w:tcW w:type="dxa" w:w="2400"/>
            <w:shd w:fill="1A3A6B" w:val="clear"/>
          </w:tcPr>
          <w:p>
            <w:pPr>
              <w:spacing w:after="60" w:before="60"/>
              <w:jc w:val="center"/>
            </w:pPr>
            <w:r>
              <w:rPr>
                <w:b/>
                <w:bCs/>
                <w:color w:val="FFFFFF"/>
                <w:sz w:val="20"/>
                <w:szCs w:val="20"/>
              </w:rPr>
              <w:t xml:space="preserve">Detection Limit (LOD)</w:t>
            </w:r>
          </w:p>
        </w:tc>
        <w:tc>
          <w:tcPr>
            <w:tcW w:type="dxa" w:w="2200"/>
            <w:shd w:fill="1A3A6B" w:val="clear"/>
          </w:tcPr>
          <w:p>
            <w:pPr>
              <w:spacing w:after="60" w:before="60"/>
              <w:jc w:val="center"/>
            </w:pPr>
            <w:r>
              <w:rPr>
                <w:b/>
                <w:bCs/>
                <w:color w:val="FFFFFF"/>
                <w:sz w:val="20"/>
                <w:szCs w:val="20"/>
              </w:rPr>
              <w:t xml:space="preserve">Detection Time</w:t>
            </w:r>
          </w:p>
        </w:tc>
        <w:tc>
          <w:tcPr>
            <w:tcW w:type="dxa" w:w="2400"/>
            <w:shd w:fill="1A3A6B" w:val="clear"/>
          </w:tcPr>
          <w:p>
            <w:pPr>
              <w:spacing w:after="60" w:before="60"/>
              <w:jc w:val="center"/>
            </w:pPr>
            <w:r>
              <w:rPr>
                <w:b/>
                <w:bCs/>
                <w:color w:val="FFFFFF"/>
                <w:sz w:val="20"/>
                <w:szCs w:val="20"/>
              </w:rPr>
              <w:t xml:space="preserve">Notes</w:t>
            </w:r>
          </w:p>
        </w:tc>
      </w:tr>
      <w:tr>
        <w:tc>
          <w:tcPr>
            <w:tcW w:type="dxa" w:w="2200"/>
            <w:shd w:fill="F2F3F4" w:val="clear"/>
          </w:tcPr>
          <w:p>
            <w:pPr>
              <w:spacing w:after="60" w:before="60"/>
              <w:jc w:val="center"/>
            </w:pPr>
            <w:r>
              <w:rPr>
                <w:b w:val="false"/>
                <w:bCs w:val="false"/>
                <w:color w:val="000000"/>
                <w:sz w:val="20"/>
                <w:szCs w:val="20"/>
              </w:rPr>
              <w:t xml:space="preserve">RDX</w:t>
            </w:r>
          </w:p>
        </w:tc>
        <w:tc>
          <w:tcPr>
            <w:tcW w:type="dxa" w:w="2400"/>
            <w:shd w:fill="FFFFFF" w:val="clear"/>
          </w:tcPr>
          <w:p>
            <w:pPr>
              <w:spacing w:after="60" w:before="60"/>
              <w:jc w:val="center"/>
            </w:pPr>
            <w:r>
              <w:rPr>
                <w:b w:val="false"/>
                <w:bCs w:val="false"/>
                <w:color w:val="000000"/>
                <w:sz w:val="20"/>
                <w:szCs w:val="20"/>
              </w:rPr>
              <w:t xml:space="preserve">~0.2 ng (1 pmol)</w:t>
            </w:r>
          </w:p>
        </w:tc>
        <w:tc>
          <w:tcPr>
            <w:tcW w:type="dxa" w:w="2200"/>
            <w:shd w:fill="F2F3F4" w:val="clear"/>
          </w:tcPr>
          <w:p>
            <w:pPr>
              <w:spacing w:after="60" w:before="60"/>
              <w:jc w:val="center"/>
            </w:pPr>
            <w:r>
              <w:rPr>
                <w:b w:val="false"/>
                <w:bCs w:val="false"/>
                <w:color w:val="000000"/>
                <w:sz w:val="20"/>
                <w:szCs w:val="20"/>
              </w:rPr>
              <w:t xml:space="preserve">1 min UV, 254nm</w:t>
            </w:r>
          </w:p>
        </w:tc>
        <w:tc>
          <w:tcPr>
            <w:tcW w:type="dxa" w:w="2400"/>
            <w:shd w:fill="FFFFFF" w:val="clear"/>
          </w:tcPr>
          <w:p>
            <w:pPr>
              <w:spacing w:after="60" w:before="60"/>
              <w:jc w:val="center"/>
            </w:pPr>
            <w:r>
              <w:rPr>
                <w:b w:val="false"/>
                <w:bCs w:val="false"/>
                <w:color w:val="000000"/>
                <w:sz w:val="20"/>
                <w:szCs w:val="20"/>
              </w:rPr>
              <w:t xml:space="preserve">Fastest quenching in solid matrix</w:t>
            </w:r>
          </w:p>
        </w:tc>
      </w:tr>
      <w:tr>
        <w:tc>
          <w:tcPr>
            <w:tcW w:type="dxa" w:w="2200"/>
            <w:shd w:fill="F2F3F4" w:val="clear"/>
          </w:tcPr>
          <w:p>
            <w:pPr>
              <w:spacing w:after="60" w:before="60"/>
              <w:jc w:val="center"/>
            </w:pPr>
            <w:r>
              <w:rPr>
                <w:b w:val="false"/>
                <w:bCs w:val="false"/>
                <w:color w:val="000000"/>
                <w:sz w:val="20"/>
                <w:szCs w:val="20"/>
              </w:rPr>
              <w:t xml:space="preserve">HMX</w:t>
            </w:r>
          </w:p>
        </w:tc>
        <w:tc>
          <w:tcPr>
            <w:tcW w:type="dxa" w:w="2400"/>
            <w:shd w:fill="FFFFFF" w:val="clear"/>
          </w:tcPr>
          <w:p>
            <w:pPr>
              <w:spacing w:after="60" w:before="60"/>
              <w:jc w:val="center"/>
            </w:pPr>
            <w:r>
              <w:rPr>
                <w:b w:val="false"/>
                <w:bCs w:val="false"/>
                <w:color w:val="000000"/>
                <w:sz w:val="20"/>
                <w:szCs w:val="20"/>
              </w:rPr>
              <w:t xml:space="preserve">~0.3 ng (1 pmol)</w:t>
            </w:r>
          </w:p>
        </w:tc>
        <w:tc>
          <w:tcPr>
            <w:tcW w:type="dxa" w:w="2200"/>
            <w:shd w:fill="F2F3F4" w:val="clear"/>
          </w:tcPr>
          <w:p>
            <w:pPr>
              <w:spacing w:after="60" w:before="60"/>
              <w:jc w:val="center"/>
            </w:pPr>
            <w:r>
              <w:rPr>
                <w:b w:val="false"/>
                <w:bCs w:val="false"/>
                <w:color w:val="000000"/>
                <w:sz w:val="20"/>
                <w:szCs w:val="20"/>
              </w:rPr>
              <w:t xml:space="preserve">1 min UV, 254nm</w:t>
            </w:r>
          </w:p>
        </w:tc>
        <w:tc>
          <w:tcPr>
            <w:tcW w:type="dxa" w:w="2400"/>
            <w:shd w:fill="FFFFFF" w:val="clear"/>
          </w:tcPr>
          <w:p>
            <w:pPr>
              <w:spacing w:after="60" w:before="60"/>
              <w:jc w:val="center"/>
            </w:pPr>
            <w:r>
              <w:rPr>
                <w:b w:val="false"/>
                <w:bCs w:val="false"/>
                <w:color w:val="000000"/>
                <w:sz w:val="20"/>
                <w:szCs w:val="20"/>
              </w:rPr>
              <w:t xml:space="preserve">Same LOD as RDX</w:t>
            </w:r>
          </w:p>
        </w:tc>
      </w:tr>
      <w:tr>
        <w:tc>
          <w:tcPr>
            <w:tcW w:type="dxa" w:w="2200"/>
            <w:shd w:fill="F2F3F4" w:val="clear"/>
          </w:tcPr>
          <w:p>
            <w:pPr>
              <w:spacing w:after="60" w:before="60"/>
              <w:jc w:val="center"/>
            </w:pPr>
            <w:r>
              <w:rPr>
                <w:b w:val="false"/>
                <w:bCs w:val="false"/>
                <w:color w:val="000000"/>
                <w:sz w:val="20"/>
                <w:szCs w:val="20"/>
              </w:rPr>
              <w:t xml:space="preserve">PETN</w:t>
            </w:r>
          </w:p>
        </w:tc>
        <w:tc>
          <w:tcPr>
            <w:tcW w:type="dxa" w:w="2400"/>
            <w:shd w:fill="FFFFFF" w:val="clear"/>
          </w:tcPr>
          <w:p>
            <w:pPr>
              <w:spacing w:after="60" w:before="60"/>
              <w:jc w:val="center"/>
            </w:pPr>
            <w:r>
              <w:rPr>
                <w:b w:val="false"/>
                <w:bCs w:val="false"/>
                <w:color w:val="000000"/>
                <w:sz w:val="20"/>
                <w:szCs w:val="20"/>
              </w:rPr>
              <w:t xml:space="preserve">0.3 – 3 ng (1–10 pmol)</w:t>
            </w:r>
          </w:p>
        </w:tc>
        <w:tc>
          <w:tcPr>
            <w:tcW w:type="dxa" w:w="2200"/>
            <w:shd w:fill="F2F3F4" w:val="clear"/>
          </w:tcPr>
          <w:p>
            <w:pPr>
              <w:spacing w:after="60" w:before="60"/>
              <w:jc w:val="center"/>
            </w:pPr>
            <w:r>
              <w:rPr>
                <w:b w:val="false"/>
                <w:bCs w:val="false"/>
                <w:color w:val="000000"/>
                <w:sz w:val="20"/>
                <w:szCs w:val="20"/>
              </w:rPr>
              <w:t xml:space="preserve">1 min UV, 254nm</w:t>
            </w:r>
          </w:p>
        </w:tc>
        <w:tc>
          <w:tcPr>
            <w:tcW w:type="dxa" w:w="2400"/>
            <w:shd w:fill="FFFFFF" w:val="clear"/>
          </w:tcPr>
          <w:p>
            <w:pPr>
              <w:spacing w:after="60" w:before="60"/>
              <w:jc w:val="center"/>
            </w:pPr>
            <w:r>
              <w:rPr>
                <w:b w:val="false"/>
                <w:bCs w:val="false"/>
                <w:color w:val="000000"/>
                <w:sz w:val="20"/>
                <w:szCs w:val="20"/>
              </w:rPr>
              <w:t xml:space="preserve">Slightly less efficient than RDX/HMX</w:t>
            </w:r>
          </w:p>
        </w:tc>
      </w:tr>
    </w:tbl>
    <w:p>
      <w:pPr>
        <w:spacing w:before="120"/>
      </w:pPr>
    </w:p>
    <w:p>
      <w:pPr>
        <w:spacing w:after="80" w:before="80"/>
        <w:jc w:val="both"/>
      </w:pPr>
      <w:r>
        <w:rPr>
          <w:b w:val="false"/>
          <w:bCs w:val="false"/>
          <w:color w:val="000000"/>
          <w:sz w:val="22"/>
          <w:szCs w:val="22"/>
        </w:rPr>
        <w:t xml:space="preserve">Importantly, the quenching reaction is significantly faster in solid state (TLC plate) than in liquid solution. In the TLC plate format, about 50% fluorescence quenching was obtained after just 20 seconds of UV irradiation, compared to only 10% quenching in solution at the same time. This kinetics enhancement is due to the concentrated molecular dispersion within the microporous silica matrix, where locally produced NO₂· or NO₂⁺ species react quickly with nearby DCM molecules.</w:t>
      </w:r>
    </w:p>
    <w:p>
      <w:pPr>
        <w:spacing w:after="80" w:before="80"/>
        <w:jc w:val="both"/>
      </w:pPr>
      <w:r>
        <w:rPr>
          <w:b w:val="false"/>
          <w:bCs w:val="false"/>
          <w:color w:val="000000"/>
          <w:sz w:val="22"/>
          <w:szCs w:val="22"/>
        </w:rPr>
        <w:t xml:space="preserve">The paper also notes that a typical fingerprint contaminated with explosives contains a total mass on the order of 100 micrograms — the DCM sensor's sub-nanogram LOD provides a sensitivity margin of over five orders of magnitude above this practical scenario, confirming it is more than sensitive enough for swab-based sampling.</w:t>
      </w:r>
    </w:p>
    <w:p>
      <w:pPr>
        <w:pStyle w:val="Heading1"/>
        <w:spacing w:after="160" w:before="320"/>
        <w:rPr>
          <w:b/>
          <w:bCs/>
          <w:color w:val="1A3A6B"/>
          <w:sz w:val="28"/>
          <w:szCs w:val="28"/>
        </w:rPr>
      </w:pPr>
      <w:r>
        <w:t xml:space="preserve">4. Black-Box Module Hardware Design</w:t>
      </w:r>
    </w:p>
    <w:p>
      <w:pPr>
        <w:pBdr>
          <w:bottom w:val="single" w:color="1A3A6B" w:sz="6"/>
        </w:pBdr>
        <w:spacing w:after="120" w:before="120"/>
      </w:pPr>
    </w:p>
    <w:p>
      <w:pPr>
        <w:pStyle w:val="Heading2"/>
        <w:spacing w:after="120" w:before="240"/>
        <w:rPr>
          <w:b/>
          <w:bCs/>
          <w:color w:val="1B5E20"/>
          <w:sz w:val="24"/>
          <w:szCs w:val="24"/>
        </w:rPr>
      </w:pPr>
      <w:r>
        <w:t xml:space="preserve">4.1  Physical structure</w:t>
      </w:r>
    </w:p>
    <w:p>
      <w:pPr>
        <w:spacing w:after="80" w:before="80"/>
        <w:jc w:val="both"/>
      </w:pPr>
      <w:r>
        <w:rPr>
          <w:b w:val="false"/>
          <w:bCs w:val="false"/>
          <w:color w:val="000000"/>
          <w:sz w:val="22"/>
          <w:szCs w:val="22"/>
        </w:rPr>
        <w:t xml:space="preserve">The black-box is a sealed, opaque enclosure mounted on the RAKSHAK K9 robot chassis. The sealed and light-excluding design is essential — ambient light would both interfere with the fluorescence measurement and gradually bleach (photo-degrade) the DCM reagent. The enclosure contains three components fixed in alignment:</w:t>
      </w:r>
    </w:p>
    <w:p>
      <w:pPr>
        <w:pStyle w:val="ListParagraph"/>
        <w:numPr>
          <w:ilvl w:val="0"/>
          <w:numId w:val="1"/>
        </w:numPr>
        <w:spacing w:after="40" w:before="40"/>
        <w:ind w:left="720"/>
      </w:pPr>
      <w:r>
        <w:rPr>
          <w:sz w:val="22"/>
          <w:szCs w:val="22"/>
        </w:rPr>
        <w:t xml:space="preserve">A UV LED emitter (254nm or 365nm) as the excitation source</w:t>
      </w:r>
    </w:p>
    <w:p>
      <w:pPr>
        <w:pStyle w:val="ListParagraph"/>
        <w:numPr>
          <w:ilvl w:val="0"/>
          <w:numId w:val="1"/>
        </w:numPr>
        <w:spacing w:after="40" w:before="40"/>
        <w:ind w:left="720"/>
      </w:pPr>
      <w:r>
        <w:rPr>
          <w:sz w:val="22"/>
          <w:szCs w:val="22"/>
        </w:rPr>
        <w:t xml:space="preserve">A photosensor (photodiode) to measure fluorescence emission intensity before and after UV exposure</w:t>
      </w:r>
    </w:p>
    <w:p>
      <w:pPr>
        <w:pStyle w:val="ListParagraph"/>
        <w:numPr>
          <w:ilvl w:val="0"/>
          <w:numId w:val="1"/>
        </w:numPr>
        <w:spacing w:after="40" w:before="40"/>
        <w:ind w:left="720"/>
      </w:pPr>
      <w:r>
        <w:rPr>
          <w:sz w:val="22"/>
          <w:szCs w:val="22"/>
        </w:rPr>
        <w:t xml:space="preserve">A sample insertion port through which the RPF officer slides the swab/TLC strip</w:t>
      </w:r>
    </w:p>
    <w:p>
      <w:pPr>
        <w:pStyle w:val="Heading2"/>
        <w:spacing w:after="120" w:before="240"/>
        <w:rPr>
          <w:b/>
          <w:bCs/>
          <w:color w:val="1B5E20"/>
          <w:sz w:val="24"/>
          <w:szCs w:val="24"/>
        </w:rPr>
      </w:pPr>
      <w:r>
        <w:t xml:space="preserve">4.2  UV source selection — 254nm vs 365nm</w:t>
      </w:r>
    </w:p>
    <w:p>
      <w:pPr>
        <w:spacing w:after="80" w:before="80"/>
        <w:jc w:val="both"/>
      </w:pPr>
      <w:r>
        <w:rPr>
          <w:b w:val="false"/>
          <w:bCs w:val="false"/>
          <w:color w:val="000000"/>
          <w:sz w:val="22"/>
          <w:szCs w:val="22"/>
        </w:rPr>
        <w:t xml:space="preserve">The Wang et al. paper used 254nm UV irradiation for photolysis of RDX, HMX, and PETN, as this wavelength aligns with the UV absorption of these explosive compounds. However, the paper also states the UV irradiation was performed with a hand-held UV lamp (model: UVGL-58, 6 Watt, 254/365nm), suggesting both wavelengths contribute to the photolysis.</w:t>
      </w:r>
    </w:p>
    <w:p>
      <w:pPr>
        <w:spacing w:after="80" w:before="80"/>
        <w:jc w:val="both"/>
      </w:pPr>
      <w:r>
        <w:rPr>
          <w:b w:val="false"/>
          <w:bCs w:val="false"/>
          <w:color w:val="000000"/>
          <w:sz w:val="22"/>
          <w:szCs w:val="22"/>
        </w:rPr>
        <w:t xml:space="preserve">For the black-box module: 254nm UVC LEDs are the preferred choice for maximum photolysis efficiency — RDX and HMX absorb strongly at this wavelength. 365nm UVA LEDs are a more affordable, safer-to-handle backup option. The excitation source for DCM fluorescence (making it glow before the test) can be any UV in the 300–400nm range, since DCM's absorption maximum in solution is around 460nm.</w:t>
      </w:r>
    </w:p>
    <w:p>
      <w:pPr>
        <w:pStyle w:val="Heading2"/>
        <w:spacing w:after="120" w:before="240"/>
        <w:rPr>
          <w:b/>
          <w:bCs/>
          <w:color w:val="1B5E20"/>
          <w:sz w:val="24"/>
          <w:szCs w:val="24"/>
        </w:rPr>
      </w:pPr>
      <w:r>
        <w:t xml:space="preserve">4.3  Photosensor specification</w:t>
      </w:r>
    </w:p>
    <w:p>
      <w:pPr>
        <w:spacing w:after="80" w:before="80"/>
        <w:jc w:val="both"/>
      </w:pPr>
      <w:r>
        <w:rPr>
          <w:b w:val="false"/>
          <w:bCs w:val="false"/>
          <w:color w:val="000000"/>
          <w:sz w:val="22"/>
          <w:szCs w:val="22"/>
        </w:rPr>
        <w:t xml:space="preserve">DCM's fluorescence emission peak is at 620nm (red-orange, visible range) in solution, and blue-shifts slightly to approximately 600nm in solid silica matrix. A standard silicon photodiode or a color-filtered CMOS photodetector sensitive in the 550–650nm range is sufficient. No specialized deep-UV detector is needed — only the emitted fluorescence light (visible range) needs to be measured.</w:t>
      </w:r>
    </w:p>
    <w:p>
      <w:pPr>
        <w:spacing w:after="80" w:before="80"/>
        <w:jc w:val="both"/>
      </w:pPr>
      <w:r>
        <w:rPr>
          <w:b w:val="false"/>
          <w:bCs w:val="false"/>
          <w:color w:val="000000"/>
          <w:sz w:val="22"/>
          <w:szCs w:val="22"/>
        </w:rPr>
        <w:t xml:space="preserve">The measurement protocol: take a baseline reading of the DCM-coated swab before UV exposure (I_before), then expose to UV for 1–2 minutes, then take a second reading (I_after). The quenching efficiency is calculated as: (1 - I_after / I_before) × 100%. Any value above an empirically calibrated threshold indicates explosive presence.</w:t>
      </w:r>
    </w:p>
    <w:p>
      <w:pPr>
        <w:pStyle w:val="Heading1"/>
        <w:spacing w:after="160" w:before="320"/>
        <w:rPr>
          <w:b/>
          <w:bCs/>
          <w:color w:val="1A3A6B"/>
          <w:sz w:val="28"/>
          <w:szCs w:val="28"/>
        </w:rPr>
      </w:pPr>
      <w:r>
        <w:t xml:space="preserve">5. Step-by-Step RPF Operation Protocol</w:t>
      </w:r>
    </w:p>
    <w:p>
      <w:pPr>
        <w:pBdr>
          <w:bottom w:val="single" w:color="1A3A6B" w:sz="6"/>
        </w:pBdr>
        <w:spacing w:after="120" w:before="120"/>
      </w:pPr>
    </w:p>
    <w:p>
      <w:pPr>
        <w:spacing w:after="80" w:before="80"/>
        <w:jc w:val="both"/>
      </w:pPr>
      <w:r>
        <w:rPr>
          <w:b w:val="false"/>
          <w:bCs w:val="false"/>
          <w:color w:val="000000"/>
          <w:sz w:val="22"/>
          <w:szCs w:val="22"/>
        </w:rPr>
        <w:t xml:space="preserve">The following procedure is adapted from the Wang et al. spray-kit method for field use by RPF personnel:</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300"/>
      </w:tblGrid>
      <w:tr>
        <w:tc>
          <w:tcPr>
            <w:tcW w:type="dxa" w:w="700"/>
            <w:shd w:fill="1A3A6B" w:val="clear"/>
          </w:tcPr>
          <w:p>
            <w:pPr>
              <w:spacing w:after="60" w:before="60"/>
              <w:jc w:val="center"/>
            </w:pPr>
            <w:r>
              <w:rPr>
                <w:b/>
                <w:bCs/>
                <w:color w:val="FFFFFF"/>
                <w:sz w:val="20"/>
                <w:szCs w:val="20"/>
              </w:rPr>
              <w:t xml:space="preserve">Step</w:t>
            </w:r>
          </w:p>
        </w:tc>
        <w:tc>
          <w:tcPr>
            <w:tcW w:type="dxa" w:w="2200"/>
            <w:shd w:fill="1A3A6B" w:val="clear"/>
          </w:tcPr>
          <w:p>
            <w:pPr>
              <w:spacing w:after="60" w:before="60"/>
              <w:jc w:val="center"/>
            </w:pPr>
            <w:r>
              <w:rPr>
                <w:b/>
                <w:bCs/>
                <w:color w:val="FFFFFF"/>
                <w:sz w:val="20"/>
                <w:szCs w:val="20"/>
              </w:rPr>
              <w:t xml:space="preserve">Action</w:t>
            </w:r>
          </w:p>
        </w:tc>
        <w:tc>
          <w:tcPr>
            <w:tcW w:type="dxa" w:w="6300"/>
            <w:shd w:fill="1A3A6B" w:val="clear"/>
          </w:tcPr>
          <w:p>
            <w:pPr>
              <w:spacing w:after="60" w:before="60"/>
              <w:jc w:val="center"/>
            </w:pPr>
            <w:r>
              <w:rPr>
                <w:b/>
                <w:bCs/>
                <w:color w:val="FFFFFF"/>
                <w:sz w:val="20"/>
                <w:szCs w:val="20"/>
              </w:rPr>
              <w:t xml:space="preserve">What Happens</w:t>
            </w:r>
          </w:p>
        </w:tc>
      </w:tr>
      <w:tr>
        <w:tc>
          <w:tcPr>
            <w:tcW w:type="dxa" w:w="700"/>
            <w:shd w:fill="F2F3F4" w:val="clear"/>
          </w:tcPr>
          <w:p>
            <w:pPr>
              <w:spacing w:after="60" w:before="60"/>
              <w:jc w:val="center"/>
            </w:pPr>
            <w:r>
              <w:rPr>
                <w:b w:val="false"/>
                <w:bCs w:val="false"/>
                <w:color w:val="000000"/>
                <w:sz w:val="20"/>
                <w:szCs w:val="20"/>
              </w:rPr>
              <w:t xml:space="preserve">1</w:t>
            </w:r>
          </w:p>
        </w:tc>
        <w:tc>
          <w:tcPr>
            <w:tcW w:type="dxa" w:w="2200"/>
            <w:shd w:fill="FFFFFF" w:val="clear"/>
          </w:tcPr>
          <w:p>
            <w:pPr>
              <w:spacing w:after="60" w:before="60"/>
              <w:jc w:val="center"/>
            </w:pPr>
            <w:r>
              <w:rPr>
                <w:b w:val="false"/>
                <w:bCs w:val="false"/>
                <w:color w:val="000000"/>
                <w:sz w:val="20"/>
                <w:szCs w:val="20"/>
              </w:rPr>
              <w:t xml:space="preserve">Swab collection</w:t>
            </w:r>
          </w:p>
        </w:tc>
        <w:tc>
          <w:tcPr>
            <w:tcW w:type="dxa" w:w="6300"/>
            <w:shd w:fill="F2F3F4" w:val="clear"/>
          </w:tcPr>
          <w:p>
            <w:pPr>
              <w:spacing w:after="60" w:before="60"/>
              <w:jc w:val="center"/>
            </w:pPr>
            <w:r>
              <w:rPr>
                <w:b w:val="false"/>
                <w:bCs w:val="false"/>
                <w:color w:val="000000"/>
                <w:sz w:val="20"/>
                <w:szCs w:val="20"/>
              </w:rPr>
              <w:t xml:space="preserve">RPF officer wipes the suspect surface (bag exterior, handle, zipper) with the supplied swab or TLC silica strip</w:t>
            </w:r>
          </w:p>
        </w:tc>
      </w:tr>
      <w:tr>
        <w:tc>
          <w:tcPr>
            <w:tcW w:type="dxa" w:w="700"/>
            <w:shd w:fill="F2F3F4" w:val="clear"/>
          </w:tcPr>
          <w:p>
            <w:pPr>
              <w:spacing w:after="60" w:before="60"/>
              <w:jc w:val="center"/>
            </w:pPr>
            <w:r>
              <w:rPr>
                <w:b w:val="false"/>
                <w:bCs w:val="false"/>
                <w:color w:val="000000"/>
                <w:sz w:val="20"/>
                <w:szCs w:val="20"/>
              </w:rPr>
              <w:t xml:space="preserve">2</w:t>
            </w:r>
          </w:p>
        </w:tc>
        <w:tc>
          <w:tcPr>
            <w:tcW w:type="dxa" w:w="2200"/>
            <w:shd w:fill="FFFFFF" w:val="clear"/>
          </w:tcPr>
          <w:p>
            <w:pPr>
              <w:spacing w:after="60" w:before="60"/>
              <w:jc w:val="center"/>
            </w:pPr>
            <w:r>
              <w:rPr>
                <w:b w:val="false"/>
                <w:bCs w:val="false"/>
                <w:color w:val="000000"/>
                <w:sz w:val="20"/>
                <w:szCs w:val="20"/>
              </w:rPr>
              <w:t xml:space="preserve">Reagent application</w:t>
            </w:r>
          </w:p>
        </w:tc>
        <w:tc>
          <w:tcPr>
            <w:tcW w:type="dxa" w:w="6300"/>
            <w:shd w:fill="F2F3F4" w:val="clear"/>
          </w:tcPr>
          <w:p>
            <w:pPr>
              <w:spacing w:after="60" w:before="60"/>
              <w:jc w:val="center"/>
            </w:pPr>
            <w:r>
              <w:rPr>
                <w:b w:val="false"/>
                <w:bCs w:val="false"/>
                <w:color w:val="000000"/>
                <w:sz w:val="20"/>
                <w:szCs w:val="20"/>
              </w:rPr>
              <w:t xml:space="preserve">Spray DCM solution (prepared at ~3×10⁻³ mol/L in 1:1 acetonitrile:ethanol) onto the swab — enough to coat the surface</w:t>
            </w:r>
          </w:p>
        </w:tc>
      </w:tr>
      <w:tr>
        <w:tc>
          <w:tcPr>
            <w:tcW w:type="dxa" w:w="700"/>
            <w:shd w:fill="F2F3F4" w:val="clear"/>
          </w:tcPr>
          <w:p>
            <w:pPr>
              <w:spacing w:after="60" w:before="60"/>
              <w:jc w:val="center"/>
            </w:pPr>
            <w:r>
              <w:rPr>
                <w:b w:val="false"/>
                <w:bCs w:val="false"/>
                <w:color w:val="000000"/>
                <w:sz w:val="20"/>
                <w:szCs w:val="20"/>
              </w:rPr>
              <w:t xml:space="preserve">3</w:t>
            </w:r>
          </w:p>
        </w:tc>
        <w:tc>
          <w:tcPr>
            <w:tcW w:type="dxa" w:w="2200"/>
            <w:shd w:fill="FFFFFF" w:val="clear"/>
          </w:tcPr>
          <w:p>
            <w:pPr>
              <w:spacing w:after="60" w:before="60"/>
              <w:jc w:val="center"/>
            </w:pPr>
            <w:r>
              <w:rPr>
                <w:b w:val="false"/>
                <w:bCs w:val="false"/>
                <w:color w:val="000000"/>
                <w:sz w:val="20"/>
                <w:szCs w:val="20"/>
              </w:rPr>
              <w:t xml:space="preserve">Insert into black-box</w:t>
            </w:r>
          </w:p>
        </w:tc>
        <w:tc>
          <w:tcPr>
            <w:tcW w:type="dxa" w:w="6300"/>
            <w:shd w:fill="F2F3F4" w:val="clear"/>
          </w:tcPr>
          <w:p>
            <w:pPr>
              <w:spacing w:after="60" w:before="60"/>
              <w:jc w:val="center"/>
            </w:pPr>
            <w:r>
              <w:rPr>
                <w:b w:val="false"/>
                <w:bCs w:val="false"/>
                <w:color w:val="000000"/>
                <w:sz w:val="20"/>
                <w:szCs w:val="20"/>
              </w:rPr>
              <w:t xml:space="preserve">Slide the swab into the sample port of the black-box chamber and close the port to exclude ambient light</w:t>
            </w:r>
          </w:p>
        </w:tc>
      </w:tr>
      <w:tr>
        <w:tc>
          <w:tcPr>
            <w:tcW w:type="dxa" w:w="700"/>
            <w:shd w:fill="F2F3F4" w:val="clear"/>
          </w:tcPr>
          <w:p>
            <w:pPr>
              <w:spacing w:after="60" w:before="60"/>
              <w:jc w:val="center"/>
            </w:pPr>
            <w:r>
              <w:rPr>
                <w:b w:val="false"/>
                <w:bCs w:val="false"/>
                <w:color w:val="000000"/>
                <w:sz w:val="20"/>
                <w:szCs w:val="20"/>
              </w:rPr>
              <w:t xml:space="preserve">4</w:t>
            </w:r>
          </w:p>
        </w:tc>
        <w:tc>
          <w:tcPr>
            <w:tcW w:type="dxa" w:w="2200"/>
            <w:shd w:fill="FFFFFF" w:val="clear"/>
          </w:tcPr>
          <w:p>
            <w:pPr>
              <w:spacing w:after="60" w:before="60"/>
              <w:jc w:val="center"/>
            </w:pPr>
            <w:r>
              <w:rPr>
                <w:b w:val="false"/>
                <w:bCs w:val="false"/>
                <w:color w:val="000000"/>
                <w:sz w:val="20"/>
                <w:szCs w:val="20"/>
              </w:rPr>
              <w:t xml:space="preserve">Baseline reading</w:t>
            </w:r>
          </w:p>
        </w:tc>
        <w:tc>
          <w:tcPr>
            <w:tcW w:type="dxa" w:w="6300"/>
            <w:shd w:fill="F2F3F4" w:val="clear"/>
          </w:tcPr>
          <w:p>
            <w:pPr>
              <w:spacing w:after="60" w:before="60"/>
              <w:jc w:val="center"/>
            </w:pPr>
            <w:r>
              <w:rPr>
                <w:b w:val="false"/>
                <w:bCs w:val="false"/>
                <w:color w:val="000000"/>
                <w:sz w:val="20"/>
                <w:szCs w:val="20"/>
              </w:rPr>
              <w:t xml:space="preserve">Photosensor records the initial fluorescence intensity (I_before) — the bright DCM glow under UV</w:t>
            </w:r>
          </w:p>
        </w:tc>
      </w:tr>
      <w:tr>
        <w:tc>
          <w:tcPr>
            <w:tcW w:type="dxa" w:w="700"/>
            <w:shd w:fill="F2F3F4" w:val="clear"/>
          </w:tcPr>
          <w:p>
            <w:pPr>
              <w:spacing w:after="60" w:before="60"/>
              <w:jc w:val="center"/>
            </w:pPr>
            <w:r>
              <w:rPr>
                <w:b w:val="false"/>
                <w:bCs w:val="false"/>
                <w:color w:val="000000"/>
                <w:sz w:val="20"/>
                <w:szCs w:val="20"/>
              </w:rPr>
              <w:t xml:space="preserve">5</w:t>
            </w:r>
          </w:p>
        </w:tc>
        <w:tc>
          <w:tcPr>
            <w:tcW w:type="dxa" w:w="2200"/>
            <w:shd w:fill="FFFFFF" w:val="clear"/>
          </w:tcPr>
          <w:p>
            <w:pPr>
              <w:spacing w:after="60" w:before="60"/>
              <w:jc w:val="center"/>
            </w:pPr>
            <w:r>
              <w:rPr>
                <w:b w:val="false"/>
                <w:bCs w:val="false"/>
                <w:color w:val="000000"/>
                <w:sz w:val="20"/>
                <w:szCs w:val="20"/>
              </w:rPr>
              <w:t xml:space="preserve">UV exposure</w:t>
            </w:r>
          </w:p>
        </w:tc>
        <w:tc>
          <w:tcPr>
            <w:tcW w:type="dxa" w:w="6300"/>
            <w:shd w:fill="F2F3F4" w:val="clear"/>
          </w:tcPr>
          <w:p>
            <w:pPr>
              <w:spacing w:after="60" w:before="60"/>
              <w:jc w:val="center"/>
            </w:pPr>
            <w:r>
              <w:rPr>
                <w:b w:val="false"/>
                <w:bCs w:val="false"/>
                <w:color w:val="000000"/>
                <w:sz w:val="20"/>
                <w:szCs w:val="20"/>
              </w:rPr>
              <w:t xml:space="preserve">UV LED activates for 1–2 minutes at 254nm (or 365nm). This photo-lyses any explosive residue on the swab, generating NO₂· or NO₂⁺ radicals</w:t>
            </w:r>
          </w:p>
        </w:tc>
      </w:tr>
      <w:tr>
        <w:tc>
          <w:tcPr>
            <w:tcW w:type="dxa" w:w="700"/>
            <w:shd w:fill="F2F3F4" w:val="clear"/>
          </w:tcPr>
          <w:p>
            <w:pPr>
              <w:spacing w:after="60" w:before="60"/>
              <w:jc w:val="center"/>
            </w:pPr>
            <w:r>
              <w:rPr>
                <w:b w:val="false"/>
                <w:bCs w:val="false"/>
                <w:color w:val="000000"/>
                <w:sz w:val="20"/>
                <w:szCs w:val="20"/>
              </w:rPr>
              <w:t xml:space="preserve">6</w:t>
            </w:r>
          </w:p>
        </w:tc>
        <w:tc>
          <w:tcPr>
            <w:tcW w:type="dxa" w:w="2200"/>
            <w:shd w:fill="FFFFFF" w:val="clear"/>
          </w:tcPr>
          <w:p>
            <w:pPr>
              <w:spacing w:after="60" w:before="60"/>
              <w:jc w:val="center"/>
            </w:pPr>
            <w:r>
              <w:rPr>
                <w:b w:val="false"/>
                <w:bCs w:val="false"/>
                <w:color w:val="000000"/>
                <w:sz w:val="20"/>
                <w:szCs w:val="20"/>
              </w:rPr>
              <w:t xml:space="preserve">Post-UV reading</w:t>
            </w:r>
          </w:p>
        </w:tc>
        <w:tc>
          <w:tcPr>
            <w:tcW w:type="dxa" w:w="6300"/>
            <w:shd w:fill="F2F3F4" w:val="clear"/>
          </w:tcPr>
          <w:p>
            <w:pPr>
              <w:spacing w:after="60" w:before="60"/>
              <w:jc w:val="center"/>
            </w:pPr>
            <w:r>
              <w:rPr>
                <w:b w:val="false"/>
                <w:bCs w:val="false"/>
                <w:color w:val="000000"/>
                <w:sz w:val="20"/>
                <w:szCs w:val="20"/>
              </w:rPr>
              <w:t xml:space="preserve">Photosensor records the fluorescence intensity after UV (I_after)</w:t>
            </w:r>
          </w:p>
        </w:tc>
      </w:tr>
      <w:tr>
        <w:tc>
          <w:tcPr>
            <w:tcW w:type="dxa" w:w="700"/>
            <w:shd w:fill="F2F3F4" w:val="clear"/>
          </w:tcPr>
          <w:p>
            <w:pPr>
              <w:spacing w:after="60" w:before="60"/>
              <w:jc w:val="center"/>
            </w:pPr>
            <w:r>
              <w:rPr>
                <w:b w:val="false"/>
                <w:bCs w:val="false"/>
                <w:color w:val="000000"/>
                <w:sz w:val="20"/>
                <w:szCs w:val="20"/>
              </w:rPr>
              <w:t xml:space="preserve">7</w:t>
            </w:r>
          </w:p>
        </w:tc>
        <w:tc>
          <w:tcPr>
            <w:tcW w:type="dxa" w:w="2200"/>
            <w:shd w:fill="FFFFFF" w:val="clear"/>
          </w:tcPr>
          <w:p>
            <w:pPr>
              <w:spacing w:after="60" w:before="60"/>
              <w:jc w:val="center"/>
            </w:pPr>
            <w:r>
              <w:rPr>
                <w:b w:val="false"/>
                <w:bCs w:val="false"/>
                <w:color w:val="000000"/>
                <w:sz w:val="20"/>
                <w:szCs w:val="20"/>
              </w:rPr>
              <w:t xml:space="preserve">Automated calculation</w:t>
            </w:r>
          </w:p>
        </w:tc>
        <w:tc>
          <w:tcPr>
            <w:tcW w:type="dxa" w:w="6300"/>
            <w:shd w:fill="F2F3F4" w:val="clear"/>
          </w:tcPr>
          <w:p>
            <w:pPr>
              <w:spacing w:after="60" w:before="60"/>
              <w:jc w:val="center"/>
            </w:pPr>
            <w:r>
              <w:rPr>
                <w:b w:val="false"/>
                <w:bCs w:val="false"/>
                <w:color w:val="000000"/>
                <w:sz w:val="20"/>
                <w:szCs w:val="20"/>
              </w:rPr>
              <w:t xml:space="preserve">Microcontroller computes quenching = 1 - (I_after / I_before) and compares to threshold</w:t>
            </w:r>
          </w:p>
        </w:tc>
      </w:tr>
      <w:tr>
        <w:tc>
          <w:tcPr>
            <w:tcW w:type="dxa" w:w="700"/>
            <w:shd w:fill="F2F3F4" w:val="clear"/>
          </w:tcPr>
          <w:p>
            <w:pPr>
              <w:spacing w:after="60" w:before="60"/>
              <w:jc w:val="center"/>
            </w:pPr>
            <w:r>
              <w:rPr>
                <w:b w:val="false"/>
                <w:bCs w:val="false"/>
                <w:color w:val="000000"/>
                <w:sz w:val="20"/>
                <w:szCs w:val="20"/>
              </w:rPr>
              <w:t xml:space="preserve">8</w:t>
            </w:r>
          </w:p>
        </w:tc>
        <w:tc>
          <w:tcPr>
            <w:tcW w:type="dxa" w:w="2200"/>
            <w:shd w:fill="FFFFFF" w:val="clear"/>
          </w:tcPr>
          <w:p>
            <w:pPr>
              <w:spacing w:after="60" w:before="60"/>
              <w:jc w:val="center"/>
            </w:pPr>
            <w:r>
              <w:rPr>
                <w:b w:val="false"/>
                <w:bCs w:val="false"/>
                <w:color w:val="000000"/>
                <w:sz w:val="20"/>
                <w:szCs w:val="20"/>
              </w:rPr>
              <w:t xml:space="preserve">Result output</w:t>
            </w:r>
          </w:p>
        </w:tc>
        <w:tc>
          <w:tcPr>
            <w:tcW w:type="dxa" w:w="6300"/>
            <w:shd w:fill="F2F3F4" w:val="clear"/>
          </w:tcPr>
          <w:p>
            <w:pPr>
              <w:spacing w:after="60" w:before="60"/>
              <w:jc w:val="center"/>
            </w:pPr>
            <w:r>
              <w:rPr>
                <w:b w:val="false"/>
                <w:bCs w:val="false"/>
                <w:color w:val="000000"/>
                <w:sz w:val="20"/>
                <w:szCs w:val="20"/>
              </w:rPr>
              <w:t xml:space="preserve">Green LED / display: Clear (below threshold). Red LED / alert: Explosive detected (above threshold). Result logged to evidence package.</w:t>
            </w:r>
          </w:p>
        </w:tc>
      </w:tr>
    </w:tbl>
    <w:p>
      <w:pPr>
        <w:spacing w:before="120"/>
      </w:pPr>
    </w:p>
    <w:p>
      <w:pPr>
        <w:spacing w:after="80" w:before="80"/>
        <w:jc w:val="both"/>
      </w:pPr>
      <w:r>
        <w:rPr>
          <w:b w:val="false"/>
          <w:bCs w:val="false"/>
          <w:color w:val="000000"/>
          <w:sz w:val="22"/>
          <w:szCs w:val="22"/>
        </w:rPr>
        <w:t xml:space="preserve">The total operation time from swab insertion to result is approximately 2–3 minutes, matching the paper's demonstrated detection window of 1–2 minutes of UV irradiation.</w:t>
      </w:r>
    </w:p>
    <w:p>
      <w:pPr>
        <w:pStyle w:val="Heading1"/>
        <w:spacing w:after="160" w:before="320"/>
        <w:rPr>
          <w:b/>
          <w:bCs/>
          <w:color w:val="1A3A6B"/>
          <w:sz w:val="28"/>
          <w:szCs w:val="28"/>
        </w:rPr>
      </w:pPr>
      <w:r>
        <w:t xml:space="preserve">6. Evidence Integration with IPFS and Blockchain</w:t>
      </w:r>
    </w:p>
    <w:p>
      <w:pPr>
        <w:pBdr>
          <w:bottom w:val="single" w:color="1A3A6B" w:sz="6"/>
        </w:pBdr>
        <w:spacing w:after="120" w:before="120"/>
      </w:pPr>
    </w:p>
    <w:p>
      <w:pPr>
        <w:spacing w:after="80" w:before="80"/>
        <w:jc w:val="both"/>
      </w:pPr>
      <w:r>
        <w:rPr>
          <w:b w:val="false"/>
          <w:bCs w:val="false"/>
          <w:color w:val="000000"/>
          <w:sz w:val="22"/>
          <w:szCs w:val="22"/>
        </w:rPr>
        <w:t xml:space="preserve">The black-box module's output feeds directly into the RAKSHAK K9 evidence chain. This is critical because the black-box result is what converts an 'unconfirmed alert' into a 'confirmed detection' on the blockchain — and these are two distinct, linked evidence packages.</w:t>
      </w:r>
    </w:p>
    <w:p>
      <w:pPr>
        <w:pStyle w:val="Heading2"/>
        <w:spacing w:after="120" w:before="240"/>
        <w:rPr>
          <w:b/>
          <w:bCs/>
          <w:color w:val="1B5E20"/>
          <w:sz w:val="24"/>
          <w:szCs w:val="24"/>
        </w:rPr>
      </w:pPr>
      <w:r>
        <w:t xml:space="preserve">6.1  What gets recorded</w:t>
      </w:r>
    </w:p>
    <w:p>
      <w:pPr>
        <w:pStyle w:val="ListParagraph"/>
        <w:numPr>
          <w:ilvl w:val="0"/>
          <w:numId w:val="1"/>
        </w:numPr>
        <w:spacing w:after="40" w:before="40"/>
        <w:ind w:left="720"/>
      </w:pPr>
      <w:r>
        <w:rPr>
          <w:sz w:val="22"/>
          <w:szCs w:val="22"/>
        </w:rPr>
        <w:t xml:space="preserve">Quenching efficiency value (numerical, e.g., 73.2%)</w:t>
      </w:r>
    </w:p>
    <w:p>
      <w:pPr>
        <w:pStyle w:val="ListParagraph"/>
        <w:numPr>
          <w:ilvl w:val="0"/>
          <w:numId w:val="1"/>
        </w:numPr>
        <w:spacing w:after="40" w:before="40"/>
        <w:ind w:left="720"/>
      </w:pPr>
      <w:r>
        <w:rPr>
          <w:sz w:val="22"/>
          <w:szCs w:val="22"/>
        </w:rPr>
        <w:t xml:space="preserve">Pass/Fail classification against the calibrated threshold</w:t>
      </w:r>
    </w:p>
    <w:p>
      <w:pPr>
        <w:pStyle w:val="ListParagraph"/>
        <w:numPr>
          <w:ilvl w:val="0"/>
          <w:numId w:val="1"/>
        </w:numPr>
        <w:spacing w:after="40" w:before="40"/>
        <w:ind w:left="720"/>
      </w:pPr>
      <w:r>
        <w:rPr>
          <w:sz w:val="22"/>
          <w:szCs w:val="22"/>
        </w:rPr>
        <w:t xml:space="preserve">UV exposure duration and LED power level used</w:t>
      </w:r>
    </w:p>
    <w:p>
      <w:pPr>
        <w:pStyle w:val="ListParagraph"/>
        <w:numPr>
          <w:ilvl w:val="0"/>
          <w:numId w:val="1"/>
        </w:numPr>
        <w:spacing w:after="40" w:before="40"/>
        <w:ind w:left="720"/>
      </w:pPr>
      <w:r>
        <w:rPr>
          <w:sz w:val="22"/>
          <w:szCs w:val="22"/>
        </w:rPr>
        <w:t xml:space="preserve">Timestamp of the test</w:t>
      </w:r>
    </w:p>
    <w:p>
      <w:pPr>
        <w:pStyle w:val="ListParagraph"/>
        <w:numPr>
          <w:ilvl w:val="0"/>
          <w:numId w:val="1"/>
        </w:numPr>
        <w:spacing w:after="40" w:before="40"/>
        <w:ind w:left="720"/>
      </w:pPr>
      <w:r>
        <w:rPr>
          <w:sz w:val="22"/>
          <w:szCs w:val="22"/>
        </w:rPr>
        <w:t xml:space="preserve">RPF officer ID (who performed the swab collection and triggered the test)</w:t>
      </w:r>
    </w:p>
    <w:p>
      <w:pPr>
        <w:pStyle w:val="ListParagraph"/>
        <w:numPr>
          <w:ilvl w:val="0"/>
          <w:numId w:val="1"/>
        </w:numPr>
        <w:spacing w:after="40" w:before="40"/>
        <w:ind w:left="720"/>
      </w:pPr>
      <w:r>
        <w:rPr>
          <w:sz w:val="22"/>
          <w:szCs w:val="22"/>
        </w:rPr>
        <w:t xml:space="preserve">Robot's GPS location at time of test</w:t>
      </w:r>
    </w:p>
    <w:p>
      <w:pPr>
        <w:pStyle w:val="Heading2"/>
        <w:spacing w:after="120" w:before="240"/>
        <w:rPr>
          <w:b/>
          <w:bCs/>
          <w:color w:val="1B5E20"/>
          <w:sz w:val="24"/>
          <w:szCs w:val="24"/>
        </w:rPr>
      </w:pPr>
      <w:r>
        <w:t xml:space="preserve">6.2  Two-stage blockchain evidence trail</w:t>
      </w:r>
    </w:p>
    <w:p>
      <w:pPr>
        <w:spacing w:after="80" w:before="80"/>
        <w:jc w:val="both"/>
      </w:pPr>
      <w:r>
        <w:rPr>
          <w:b w:val="false"/>
          <w:bCs w:val="false"/>
          <w:color w:val="000000"/>
          <w:sz w:val="22"/>
          <w:szCs w:val="22"/>
        </w:rPr>
        <w:t xml:space="preserve">Stage 1 (Unconfirmed): when the robot's sensor fusion system flags an anomaly, an unconfirmed evidence package (sensor readings, images, GPS) is immediately pushed to IPFS and its CID is recorded on the Ethereum smart contract, tagged 'unconfirmed'.</w:t>
      </w:r>
    </w:p>
    <w:p>
      <w:pPr>
        <w:spacing w:after="80" w:before="80"/>
        <w:jc w:val="both"/>
      </w:pPr>
      <w:r>
        <w:rPr>
          <w:b w:val="false"/>
          <w:bCs w:val="false"/>
          <w:color w:val="000000"/>
          <w:sz w:val="22"/>
          <w:szCs w:val="22"/>
        </w:rPr>
        <w:t xml:space="preserve">Stage 2 (Confirmed): after the RPF officer performs the black-box test and a positive quenching result is obtained, a second confirmed evidence package is generated. This package includes the Stage 1 CID as a reference, plus all the black-box result data listed above. It is independently pushed to IPFS and recorded on the blockchain, tagged 'confirmed', referencing the original record's CID and transaction ID.</w:t>
      </w:r>
    </w:p>
    <w:p>
      <w:pPr>
        <w:shd w:fill="FEF9E7" w:val="clear"/>
        <w:spacing w:after="80" w:before="80"/>
        <w:ind w:left="720" w:right="720"/>
      </w:pPr>
      <w:r>
        <w:rPr>
          <w:i/>
          <w:iCs/>
          <w:sz w:val="22"/>
          <w:szCs w:val="22"/>
        </w:rPr>
        <w:t xml:space="preserve">Key legal advantage: both the initial machine-flagging and the subsequent human-verified chemical confirmation are permanently and independently recorded, with cryptographically verifiable timestamps. Neither record can be altered without breaking the hash chain.</w:t>
      </w:r>
    </w:p>
    <w:p>
      <w:pPr>
        <w:pStyle w:val="Heading1"/>
        <w:spacing w:after="160" w:before="320"/>
        <w:rPr>
          <w:b/>
          <w:bCs/>
          <w:color w:val="1A3A6B"/>
          <w:sz w:val="28"/>
          <w:szCs w:val="28"/>
        </w:rPr>
      </w:pPr>
      <w:r>
        <w:t xml:space="preserve">7. Honest Limitations and Mitigations</w:t>
      </w:r>
    </w:p>
    <w:p>
      <w:pPr>
        <w:pBdr>
          <w:bottom w:val="single" w:color="1A3A6B" w:sz="6"/>
        </w:pBdr>
        <w:spacing w:after="120" w:before="120"/>
      </w:pP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c>
          <w:tcPr>
            <w:tcW w:type="dxa" w:w="2400"/>
            <w:shd w:fill="1A3A6B" w:val="clear"/>
          </w:tcPr>
          <w:p>
            <w:pPr>
              <w:spacing w:after="60" w:before="60"/>
              <w:jc w:val="center"/>
            </w:pPr>
            <w:r>
              <w:rPr>
                <w:b/>
                <w:bCs/>
                <w:color w:val="FFFFFF"/>
                <w:sz w:val="20"/>
                <w:szCs w:val="20"/>
              </w:rPr>
              <w:t xml:space="preserve">Limitation</w:t>
            </w:r>
          </w:p>
        </w:tc>
        <w:tc>
          <w:tcPr>
            <w:tcW w:type="dxa" w:w="2400"/>
            <w:shd w:fill="1A3A6B" w:val="clear"/>
          </w:tcPr>
          <w:p>
            <w:pPr>
              <w:spacing w:after="60" w:before="60"/>
              <w:jc w:val="center"/>
            </w:pPr>
            <w:r>
              <w:rPr>
                <w:b/>
                <w:bCs/>
                <w:color w:val="FFFFFF"/>
                <w:sz w:val="20"/>
                <w:szCs w:val="20"/>
              </w:rPr>
              <w:t xml:space="preserve">Source</w:t>
            </w:r>
          </w:p>
        </w:tc>
        <w:tc>
          <w:tcPr>
            <w:tcW w:type="dxa" w:w="4400"/>
            <w:shd w:fill="1A3A6B" w:val="clear"/>
          </w:tcPr>
          <w:p>
            <w:pPr>
              <w:spacing w:after="60" w:before="60"/>
              <w:jc w:val="center"/>
            </w:pPr>
            <w:r>
              <w:rPr>
                <w:b/>
                <w:bCs/>
                <w:color w:val="FFFFFF"/>
                <w:sz w:val="20"/>
                <w:szCs w:val="20"/>
              </w:rPr>
              <w:t xml:space="preserve">Mitigation</w:t>
            </w:r>
          </w:p>
        </w:tc>
      </w:tr>
      <w:tr>
        <w:tc>
          <w:tcPr>
            <w:tcW w:type="dxa" w:w="2400"/>
            <w:shd w:fill="F2F3F4" w:val="clear"/>
          </w:tcPr>
          <w:p>
            <w:pPr>
              <w:spacing w:after="60" w:before="60"/>
              <w:jc w:val="center"/>
            </w:pPr>
            <w:r>
              <w:rPr>
                <w:b w:val="false"/>
                <w:bCs w:val="false"/>
                <w:color w:val="000000"/>
                <w:sz w:val="20"/>
                <w:szCs w:val="20"/>
              </w:rPr>
              <w:t xml:space="preserve">DCM reagent requires handling of acetonitrile solvent</w:t>
            </w:r>
          </w:p>
        </w:tc>
        <w:tc>
          <w:tcPr>
            <w:tcW w:type="dxa" w:w="2400"/>
            <w:shd w:fill="FFFFFF" w:val="clear"/>
          </w:tcPr>
          <w:p>
            <w:pPr>
              <w:spacing w:after="60" w:before="60"/>
              <w:jc w:val="center"/>
            </w:pPr>
            <w:r>
              <w:rPr>
                <w:b w:val="false"/>
                <w:bCs w:val="false"/>
                <w:color w:val="000000"/>
                <w:sz w:val="20"/>
                <w:szCs w:val="20"/>
              </w:rPr>
              <w:t xml:space="preserve">Preparation requires organic solvent</w:t>
            </w:r>
          </w:p>
        </w:tc>
        <w:tc>
          <w:tcPr>
            <w:tcW w:type="dxa" w:w="4400"/>
            <w:shd w:fill="F2F3F4" w:val="clear"/>
          </w:tcPr>
          <w:p>
            <w:pPr>
              <w:spacing w:after="60" w:before="60"/>
              <w:jc w:val="center"/>
            </w:pPr>
            <w:r>
              <w:rPr>
                <w:b w:val="false"/>
                <w:bCs w:val="false"/>
                <w:color w:val="000000"/>
                <w:sz w:val="20"/>
                <w:szCs w:val="20"/>
              </w:rPr>
              <w:t xml:space="preserve">Pre-prepared DCM spray vials supplied to RPF; sealed single-use applicators eliminate direct solvent handling</w:t>
            </w:r>
          </w:p>
        </w:tc>
      </w:tr>
      <w:tr>
        <w:tc>
          <w:tcPr>
            <w:tcW w:type="dxa" w:w="2400"/>
            <w:shd w:fill="F2F3F4" w:val="clear"/>
          </w:tcPr>
          <w:p>
            <w:pPr>
              <w:spacing w:after="60" w:before="60"/>
              <w:jc w:val="center"/>
            </w:pPr>
            <w:r>
              <w:rPr>
                <w:b w:val="false"/>
                <w:bCs w:val="false"/>
                <w:color w:val="000000"/>
                <w:sz w:val="20"/>
                <w:szCs w:val="20"/>
              </w:rPr>
              <w:t xml:space="preserve">Test requires RPF to physically swab the surface</w:t>
            </w:r>
          </w:p>
        </w:tc>
        <w:tc>
          <w:tcPr>
            <w:tcW w:type="dxa" w:w="2400"/>
            <w:shd w:fill="FFFFFF" w:val="clear"/>
          </w:tcPr>
          <w:p>
            <w:pPr>
              <w:spacing w:after="60" w:before="60"/>
              <w:jc w:val="center"/>
            </w:pPr>
            <w:r>
              <w:rPr>
                <w:b w:val="false"/>
                <w:bCs w:val="false"/>
                <w:color w:val="000000"/>
                <w:sz w:val="20"/>
                <w:szCs w:val="20"/>
              </w:rPr>
              <w:t xml:space="preserve">Not a fully standoff method</w:t>
            </w:r>
          </w:p>
        </w:tc>
        <w:tc>
          <w:tcPr>
            <w:tcW w:type="dxa" w:w="4400"/>
            <w:shd w:fill="F2F3F4" w:val="clear"/>
          </w:tcPr>
          <w:p>
            <w:pPr>
              <w:spacing w:after="60" w:before="60"/>
              <w:jc w:val="center"/>
            </w:pPr>
            <w:r>
              <w:rPr>
                <w:b w:val="false"/>
                <w:bCs w:val="false"/>
                <w:color w:val="000000"/>
                <w:sz w:val="20"/>
                <w:szCs w:val="20"/>
              </w:rPr>
              <w:t xml:space="preserve">This is intentional — human physical collection maintains chain-of-custody integrity, same as IMS swab protocol</w:t>
            </w:r>
          </w:p>
        </w:tc>
      </w:tr>
      <w:tr>
        <w:tc>
          <w:tcPr>
            <w:tcW w:type="dxa" w:w="2400"/>
            <w:shd w:fill="F2F3F4" w:val="clear"/>
          </w:tcPr>
          <w:p>
            <w:pPr>
              <w:spacing w:after="60" w:before="60"/>
              <w:jc w:val="center"/>
            </w:pPr>
            <w:r>
              <w:rPr>
                <w:b w:val="false"/>
                <w:bCs w:val="false"/>
                <w:color w:val="000000"/>
                <w:sz w:val="20"/>
                <w:szCs w:val="20"/>
              </w:rPr>
              <w:t xml:space="preserve">LOD is for RDX/HMX/PETN specifically — not TNT</w:t>
            </w:r>
          </w:p>
        </w:tc>
        <w:tc>
          <w:tcPr>
            <w:tcW w:type="dxa" w:w="2400"/>
            <w:shd w:fill="FFFFFF" w:val="clear"/>
          </w:tcPr>
          <w:p>
            <w:pPr>
              <w:spacing w:after="60" w:before="60"/>
              <w:jc w:val="center"/>
            </w:pPr>
            <w:r>
              <w:rPr>
                <w:b w:val="false"/>
                <w:bCs w:val="false"/>
                <w:color w:val="000000"/>
                <w:sz w:val="20"/>
                <w:szCs w:val="20"/>
              </w:rPr>
              <w:t xml:space="preserve">DCM does not efficiently detect nitroaromatics via this pathway</w:t>
            </w:r>
          </w:p>
        </w:tc>
        <w:tc>
          <w:tcPr>
            <w:tcW w:type="dxa" w:w="4400"/>
            <w:shd w:fill="F2F3F4" w:val="clear"/>
          </w:tcPr>
          <w:p>
            <w:pPr>
              <w:spacing w:after="60" w:before="60"/>
              <w:jc w:val="center"/>
            </w:pPr>
            <w:r>
              <w:rPr>
                <w:b w:val="false"/>
                <w:bCs w:val="false"/>
                <w:color w:val="000000"/>
                <w:sz w:val="20"/>
                <w:szCs w:val="20"/>
              </w:rPr>
              <w:t xml:space="preserve">Honest scope: our system is targeted at plastic explosive residues. TNT detection would require a separate sensor or reagent</w:t>
            </w:r>
          </w:p>
        </w:tc>
      </w:tr>
      <w:tr>
        <w:tc>
          <w:tcPr>
            <w:tcW w:type="dxa" w:w="2400"/>
            <w:shd w:fill="F2F3F4" w:val="clear"/>
          </w:tcPr>
          <w:p>
            <w:pPr>
              <w:spacing w:after="60" w:before="60"/>
              <w:jc w:val="center"/>
            </w:pPr>
            <w:r>
              <w:rPr>
                <w:b w:val="false"/>
                <w:bCs w:val="false"/>
                <w:color w:val="000000"/>
                <w:sz w:val="20"/>
                <w:szCs w:val="20"/>
              </w:rPr>
              <w:t xml:space="preserve">UV bleaching of DCM causes slight baseline drift over time</w:t>
            </w:r>
          </w:p>
        </w:tc>
        <w:tc>
          <w:tcPr>
            <w:tcW w:type="dxa" w:w="2400"/>
            <w:shd w:fill="FFFFFF" w:val="clear"/>
          </w:tcPr>
          <w:p>
            <w:pPr>
              <w:spacing w:after="60" w:before="60"/>
              <w:jc w:val="center"/>
            </w:pPr>
            <w:r>
              <w:rPr>
                <w:b w:val="false"/>
                <w:bCs w:val="false"/>
                <w:color w:val="000000"/>
                <w:sz w:val="20"/>
                <w:szCs w:val="20"/>
              </w:rPr>
              <w:t xml:space="preserve">Photo-oxidation of DCM under UV</w:t>
            </w:r>
          </w:p>
        </w:tc>
        <w:tc>
          <w:tcPr>
            <w:tcW w:type="dxa" w:w="4400"/>
            <w:shd w:fill="F2F3F4" w:val="clear"/>
          </w:tcPr>
          <w:p>
            <w:pPr>
              <w:spacing w:after="60" w:before="60"/>
              <w:jc w:val="center"/>
            </w:pPr>
            <w:r>
              <w:rPr>
                <w:b w:val="false"/>
                <w:bCs w:val="false"/>
                <w:color w:val="000000"/>
                <w:sz w:val="20"/>
                <w:szCs w:val="20"/>
              </w:rPr>
              <w:t xml:space="preserve">Baseline (I_before) is always measured fresh per test — drift is automatically compensated in the quenching calculation</w:t>
            </w:r>
          </w:p>
        </w:tc>
      </w:tr>
      <w:tr>
        <w:tc>
          <w:tcPr>
            <w:tcW w:type="dxa" w:w="2400"/>
            <w:shd w:fill="F2F3F4" w:val="clear"/>
          </w:tcPr>
          <w:p>
            <w:pPr>
              <w:spacing w:after="60" w:before="60"/>
              <w:jc w:val="center"/>
            </w:pPr>
            <w:r>
              <w:rPr>
                <w:b w:val="false"/>
                <w:bCs w:val="false"/>
                <w:color w:val="000000"/>
                <w:sz w:val="20"/>
                <w:szCs w:val="20"/>
              </w:rPr>
              <w:t xml:space="preserve">Real explosive testing requires authorized facilities</w:t>
            </w:r>
          </w:p>
        </w:tc>
        <w:tc>
          <w:tcPr>
            <w:tcW w:type="dxa" w:w="2400"/>
            <w:shd w:fill="FFFFFF" w:val="clear"/>
          </w:tcPr>
          <w:p>
            <w:pPr>
              <w:spacing w:after="60" w:before="60"/>
              <w:jc w:val="center"/>
            </w:pPr>
            <w:r>
              <w:rPr>
                <w:b w:val="false"/>
                <w:bCs w:val="false"/>
                <w:color w:val="000000"/>
                <w:sz w:val="20"/>
                <w:szCs w:val="20"/>
              </w:rPr>
              <w:t xml:space="preserve">Safety and legal constraints</w:t>
            </w:r>
          </w:p>
        </w:tc>
        <w:tc>
          <w:tcPr>
            <w:tcW w:type="dxa" w:w="4400"/>
            <w:shd w:fill="F2F3F4" w:val="clear"/>
          </w:tcPr>
          <w:p>
            <w:pPr>
              <w:spacing w:after="60" w:before="60"/>
              <w:jc w:val="center"/>
            </w:pPr>
            <w:r>
              <w:rPr>
                <w:b w:val="false"/>
                <w:bCs w:val="false"/>
                <w:color w:val="000000"/>
                <w:sz w:val="20"/>
                <w:szCs w:val="20"/>
              </w:rPr>
              <w:t xml:space="preserve">Lab testing with authorized reference samples is the required next step; prototype uses legal chemical simulants and cites the Wang et al. peer-reviewed results as the published scientific basis</w:t>
            </w:r>
          </w:p>
        </w:tc>
      </w:tr>
    </w:tbl>
    <w:p>
      <w:pPr>
        <w:pStyle w:val="Heading1"/>
        <w:spacing w:after="160" w:before="320"/>
        <w:rPr>
          <w:b/>
          <w:bCs/>
          <w:color w:val="1A3A6B"/>
          <w:sz w:val="28"/>
          <w:szCs w:val="28"/>
        </w:rPr>
      </w:pPr>
      <w:r>
        <w:t xml:space="preserve">8. Primary Reference Paper</w:t>
      </w:r>
    </w:p>
    <w:p>
      <w:pPr>
        <w:pBdr>
          <w:bottom w:val="single" w:color="1A3A6B" w:sz="6"/>
        </w:pBdr>
        <w:spacing w:after="120" w:before="120"/>
      </w:pPr>
    </w:p>
    <w:p>
      <w:pPr>
        <w:spacing w:after="80" w:before="80"/>
        <w:jc w:val="both"/>
      </w:pPr>
      <w:r>
        <w:rPr>
          <w:b w:val="false"/>
          <w:bCs w:val="false"/>
          <w:color w:val="000000"/>
          <w:sz w:val="22"/>
          <w:szCs w:val="22"/>
        </w:rPr>
        <w:t xml:space="preserve">The entire detection chemistry of this module is based on the following peer-reviewed publication:</w:t>
      </w:r>
    </w:p>
    <w:p>
      <w:pPr>
        <w:spacing w:before="120"/>
      </w:pPr>
    </w:p>
    <w:p>
      <w:pPr>
        <w:spacing w:after="60" w:before="60"/>
        <w:ind w:left="720" w:hanging="720"/>
      </w:pPr>
      <w:r>
        <w:rPr>
          <w:sz w:val="22"/>
          <w:szCs w:val="22"/>
        </w:rPr>
        <w:t xml:space="preserve">Wang, C., Huang, H., Bunes, B. R., Wu, N., Xu, M., Yang, X., Yu, L., &amp; Zang, L. (2016). </w:t>
      </w:r>
      <w:r>
        <w:rPr>
          <w:i/>
          <w:iCs/>
          <w:sz w:val="22"/>
          <w:szCs w:val="22"/>
        </w:rPr>
        <w:t xml:space="preserve">Trace Detection of RDX, HMX and PETN Explosives Using a Fluorescence Spot Sensor.</w:t>
      </w:r>
      <w:r>
        <w:rPr>
          <w:sz w:val="22"/>
          <w:szCs w:val="22"/>
        </w:rPr>
        <w:t xml:space="preserve"> Scientific Reports, 6, 25015.</w:t>
      </w:r>
    </w:p>
    <w:p>
      <w:pPr>
        <w:spacing w:after="40" w:before="40"/>
        <w:ind w:left="720"/>
      </w:pPr>
      <w:r>
        <w:rPr>
          <w:color w:val="1A5276"/>
          <w:sz w:val="22"/>
          <w:szCs w:val="22"/>
        </w:rPr>
        <w:t xml:space="preserve">DOI: 10.1038/srep25015</w:t>
      </w:r>
    </w:p>
    <w:p>
      <w:pPr>
        <w:spacing w:after="40" w:before="40"/>
        <w:ind w:left="720"/>
      </w:pPr>
      <w:r>
        <w:rPr>
          <w:color w:val="1A5276"/>
          <w:sz w:val="22"/>
          <w:szCs w:val="22"/>
        </w:rPr>
        <w:t xml:space="preserve">Available: https://www.ncbi.nlm.nih.gov/pmc/articles/PMC4857100/</w:t>
      </w:r>
    </w:p>
    <w:p>
      <w:pPr>
        <w:spacing w:after="200" w:before="40"/>
        <w:ind w:left="720"/>
      </w:pPr>
      <w:r>
        <w:rPr>
          <w:i/>
          <w:iCs/>
          <w:color w:val="777777"/>
          <w:sz w:val="20"/>
          <w:szCs w:val="20"/>
        </w:rPr>
        <w:t xml:space="preserve">Published: 05 May 2016  |  Open Access (Creative Commons Attribution 4.0)</w:t>
      </w:r>
    </w:p>
    <w:p>
      <w:pPr>
        <w:spacing w:after="80" w:before="80"/>
        <w:jc w:val="both"/>
      </w:pPr>
      <w:r>
        <w:rPr>
          <w:b w:val="false"/>
          <w:bCs w:val="false"/>
          <w:color w:val="000000"/>
          <w:sz w:val="22"/>
          <w:szCs w:val="22"/>
        </w:rPr>
        <w:t xml:space="preserve">Additional supporting references:</w:t>
      </w:r>
    </w:p>
    <w:p>
      <w:pPr>
        <w:spacing w:after="40" w:before="40"/>
        <w:ind w:left="720"/>
      </w:pPr>
      <w:r>
        <w:rPr>
          <w:sz w:val="22"/>
          <w:szCs w:val="22"/>
        </w:rPr>
        <w:t xml:space="preserve">[2] Andrew, T. L. &amp; Swager, T. M. (2007). A Fluorescence Turn-On Mechanism to Detect High Explosives RDX and PETN. J. Am. Chem. Soc., 129, 7254–7255.</w:t>
      </w:r>
    </w:p>
    <w:p>
      <w:pPr>
        <w:spacing w:after="40" w:before="40"/>
        <w:ind w:left="720"/>
      </w:pPr>
      <w:r>
        <w:rPr>
          <w:sz w:val="22"/>
          <w:szCs w:val="22"/>
        </w:rPr>
        <w:t xml:space="preserve">[3] Andrew, T. L. &amp; Swager, T. M. (2011). Detection of Explosives via Photolytic Cleavage of Nitroesters and Nitramines. J. Org. Chem., 76, 2976–2993.</w:t>
      </w:r>
    </w:p>
    <w:p>
      <w:pPr>
        <w:spacing w:after="40" w:before="40"/>
        <w:ind w:left="720"/>
      </w:pPr>
      <w:r>
        <w:rPr>
          <w:sz w:val="22"/>
          <w:szCs w:val="22"/>
        </w:rPr>
        <w:t xml:space="preserve">[4] Sun, X., Wang, Y., &amp; Lei, Y. (2015). Fluorescence based explosive detection: from mechanisms to sensory materials. Chem. Soc. Rev., 44, 8019–8061.</w:t>
      </w:r>
    </w:p>
    <w:p>
      <w:pPr>
        <w:pBdr>
          <w:bottom w:val="single" w:color="1A3A6B" w:sz="6"/>
        </w:pBdr>
        <w:spacing w:after="120" w:before="120"/>
      </w:pPr>
    </w:p>
    <w:p>
      <w:pPr>
        <w:spacing w:after="80" w:before="80"/>
        <w:jc w:val="both"/>
      </w:pPr>
      <w:r>
        <w:rPr>
          <w:i/>
          <w:iCs/>
          <w:color w:val="777777"/>
          <w:sz w:val="18"/>
          <w:szCs w:val="18"/>
        </w:rPr>
        <w:t xml:space="preserve">This document compiles the technical basis for the RAKSHAK K9 black-box module. All chemical claims are sourced from the cited peer-reviewed literature. Prototype testing with real explosive compounds requires authorization from appropriate authorities and is outside the scope of the student prototype.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2026-09-24T09:58:19.694Z</dcterms:created>
  <dcterms:modified xsi:type="dcterms:W3CDTF">2026-09-24T09:58:19.703Z</dcterms:modified>
</cp:coreProperties>
</file>

<file path=docProps/custom.xml><?xml version="1.0" encoding="utf-8"?>
<Properties xmlns="http://schemas.openxmlformats.org/officeDocument/2006/custom-properties" xmlns:vt="http://schemas.openxmlformats.org/officeDocument/2006/docPropsVTypes"/>
</file>