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2"/>
          <w:szCs w:val="52"/>
        </w:rPr>
        <w:t xml:space="preserve">Predictive Agent</w:t>
      </w:r>
    </w:p>
    <w:p>
      <w:pPr>
        <w:spacing w:after="100"/>
        <w:jc w:val="center"/>
      </w:pPr>
      <w:r>
        <w:rPr>
          <w:color w:val="555555"/>
          <w:sz w:val="26"/>
          <w:szCs w:val="26"/>
        </w:rPr>
        <w:t xml:space="preserve">How it works, the tools and services behind it, and what you get — explained in plain language</w:t>
      </w:r>
    </w:p>
    <w:p>
      <w:pPr>
        <w:jc w:val="center"/>
      </w:pPr>
      <w:r>
        <w:rPr>
          <w:color w:val="888888"/>
          <w:sz w:val="22"/>
          <w:szCs w:val="22"/>
        </w:rPr>
        <w:t xml:space="preserve">Coles IT Operations · Microsoft AI Foundry on Azure · July 2026</w:t>
      </w:r>
    </w:p>
    <w:p/>
    <w:p>
      <w:pPr>
        <w:pStyle w:val="Heading1"/>
        <w:spacing w:after="120" w:before="300"/>
      </w:pPr>
      <w:r>
        <w:t xml:space="preserve">1. What is this agent, in one paragraph</w:t>
      </w:r>
    </w:p>
    <w:p>
      <w:pPr>
        <w:spacing w:after="120"/>
      </w:pPr>
      <w:r>
        <w:t xml:space="preserve">Most IT work is reactive: something breaks, people scramble. The Predictive Agent looks ahead instead. It watches ticket volumes, system performance trends, capacity usage and repeat incidents, and raises a hand early: “this disk will be full in nine days”, “this error rate has been creeping up for three weeks”, “this same EFTPOS fault has now happened four times this quarter”. It publishes a ranked risk list and a weekly watchlist. One rule is absolute: it is advisory only — it warns and recommends, and it has no ability to change any system.</w:t>
      </w:r>
    </w:p>
    <w:p>
      <w:pPr>
        <w:pStyle w:val="Heading1"/>
        <w:spacing w:after="120" w:before="300"/>
      </w:pPr>
      <w:r>
        <w:t xml:space="preserve">2. The one design decision to understand first</w:t>
      </w:r>
    </w:p>
    <w:p>
      <w:pPr>
        <w:spacing w:after="120"/>
      </w:pPr>
      <w:r>
        <w:t xml:space="preserve">This agent is deliberately NOT an AI model doing forecasting. Large language models are famously bad at arithmetic, and a prediction you cannot reproduce is a prediction you cannot trust. So the roles are split:</w:t>
      </w:r>
    </w:p>
    <w:p>
      <w:pPr>
        <w:pStyle w:val="ListParagraph"/>
        <w:numPr>
          <w:ilvl w:val="0"/>
          <w:numId w:val="2"/>
        </w:numPr>
        <w:spacing w:after="60"/>
      </w:pPr>
      <w:r>
        <w:rPr>
          <w:b/>
          <w:bCs/>
        </w:rPr>
        <w:t xml:space="preserve">The maths is done by classical, tested statistical models </w:t>
      </w:r>
      <w:r>
        <w:t xml:space="preserve">in Azure Machine Learning and Microsoft Fabric — trend lines, forecasts, anomaly detection. These are versioned: the same inputs always give the same outputs, and every result carries the model version that produced it.</w:t>
      </w:r>
    </w:p>
    <w:p>
      <w:pPr>
        <w:pStyle w:val="ListParagraph"/>
        <w:numPr>
          <w:ilvl w:val="0"/>
          <w:numId w:val="2"/>
        </w:numPr>
        <w:spacing w:after="60"/>
      </w:pPr>
      <w:r>
        <w:rPr>
          <w:b/>
          <w:bCs/>
        </w:rPr>
        <w:t xml:space="preserve">The AI model only explains. </w:t>
      </w:r>
      <w:r>
        <w:t xml:space="preserve">It takes the numbers the classical models produced, correlates them with recent changes, and writes the plain-English narrative: what was noticed, why it matters, what to check. Every sentence must point back to a number or a record — a critic strips anything unsupported.</w:t>
      </w:r>
    </w:p>
    <w:p>
      <w:pPr>
        <w:spacing w:after="120"/>
      </w:pPr>
      <w:r>
        <w:t xml:space="preserve">The practical benefit: predictions are auditable, reproducible, and free of AI-arithmetic false alarms.</w:t>
      </w:r>
    </w:p>
    <w:p>
      <w:pPr>
        <w:pStyle w:val="Heading1"/>
        <w:spacing w:after="120" w:before="300"/>
      </w:pPr>
      <w:r>
        <w:t xml:space="preserve">3. The building blocks, in plain words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2900"/>
      </w:tblGrid>
      <w:tr>
        <w:tc>
          <w:tcPr>
            <w:tcW w:type="dxa" w:w="2200"/>
            <w:shd w:fill="D9E2F3" w:val="clear"/>
            <w:tcMar>
              <w:top w:type="dxa" w:w="60"/>
              <w:left w:type="dxa" w:w="100"/>
              <w:bottom w:type="dxa" w:w="60"/>
              <w:right w:type="dxa" w:w="100"/>
            </w:tcMar>
          </w:tcPr>
          <w:p>
            <w:r>
              <w:rPr>
                <w:b/>
                <w:bCs/>
                <w:sz w:val="19"/>
                <w:szCs w:val="19"/>
              </w:rPr>
              <w:t xml:space="preserve">Service</w:t>
            </w:r>
          </w:p>
        </w:tc>
        <w:tc>
          <w:tcPr>
            <w:tcW w:type="dxa" w:w="3900"/>
            <w:shd w:fill="D9E2F3" w:val="clear"/>
            <w:tcMar>
              <w:top w:type="dxa" w:w="60"/>
              <w:left w:type="dxa" w:w="100"/>
              <w:bottom w:type="dxa" w:w="60"/>
              <w:right w:type="dxa" w:w="100"/>
            </w:tcMar>
          </w:tcPr>
          <w:p>
            <w:r>
              <w:rPr>
                <w:b/>
                <w:bCs/>
                <w:sz w:val="19"/>
                <w:szCs w:val="19"/>
              </w:rPr>
              <w:t xml:space="preserve">What it really is</w:t>
            </w:r>
          </w:p>
        </w:tc>
        <w:tc>
          <w:tcPr>
            <w:tcW w:type="dxa" w:w="2900"/>
            <w:shd w:fill="D9E2F3" w:val="clear"/>
            <w:tcMar>
              <w:top w:type="dxa" w:w="60"/>
              <w:left w:type="dxa" w:w="100"/>
              <w:bottom w:type="dxa" w:w="60"/>
              <w:right w:type="dxa" w:w="100"/>
            </w:tcMar>
          </w:tcPr>
          <w:p>
            <w:r>
              <w:rPr>
                <w:b/>
                <w:bCs/>
                <w:sz w:val="19"/>
                <w:szCs w:val="19"/>
              </w:rPr>
              <w:t xml:space="preserve">Kitchen-table analogy</w:t>
            </w:r>
          </w:p>
        </w:tc>
      </w:tr>
      <w:tr>
        <w:tc>
          <w:tcPr>
            <w:tcW w:type="dxa" w:w="2200"/>
            <w:tcMar>
              <w:top w:type="dxa" w:w="60"/>
              <w:left w:type="dxa" w:w="100"/>
              <w:bottom w:type="dxa" w:w="60"/>
              <w:right w:type="dxa" w:w="100"/>
            </w:tcMar>
          </w:tcPr>
          <w:p>
            <w:r>
              <w:rPr>
                <w:b w:val="false"/>
                <w:bCs w:val="false"/>
                <w:sz w:val="19"/>
                <w:szCs w:val="19"/>
              </w:rPr>
              <w:t xml:space="preserve">Azure Event Hubs</w:t>
            </w:r>
          </w:p>
        </w:tc>
        <w:tc>
          <w:tcPr>
            <w:tcW w:type="dxa" w:w="3900"/>
            <w:tcMar>
              <w:top w:type="dxa" w:w="60"/>
              <w:left w:type="dxa" w:w="100"/>
              <w:bottom w:type="dxa" w:w="60"/>
              <w:right w:type="dxa" w:w="100"/>
            </w:tcMar>
          </w:tcPr>
          <w:p>
            <w:r>
              <w:rPr>
                <w:b w:val="false"/>
                <w:bCs w:val="false"/>
                <w:sz w:val="19"/>
                <w:szCs w:val="19"/>
              </w:rPr>
              <w:t xml:space="preserve">A pipe that ingests huge streams of telemetry (metrics, logs) in real time from monitoring systems.</w:t>
            </w:r>
          </w:p>
        </w:tc>
        <w:tc>
          <w:tcPr>
            <w:tcW w:type="dxa" w:w="2900"/>
            <w:tcMar>
              <w:top w:type="dxa" w:w="60"/>
              <w:left w:type="dxa" w:w="100"/>
              <w:bottom w:type="dxa" w:w="60"/>
              <w:right w:type="dxa" w:w="100"/>
            </w:tcMar>
          </w:tcPr>
          <w:p>
            <w:r>
              <w:rPr>
                <w:b w:val="false"/>
                <w:bCs w:val="false"/>
                <w:sz w:val="19"/>
                <w:szCs w:val="19"/>
              </w:rPr>
              <w:t xml:space="preserve">The water main bringing in raw readings all day long.</w:t>
            </w:r>
          </w:p>
        </w:tc>
      </w:tr>
      <w:tr>
        <w:tc>
          <w:tcPr>
            <w:tcW w:type="dxa" w:w="2200"/>
            <w:tcMar>
              <w:top w:type="dxa" w:w="60"/>
              <w:left w:type="dxa" w:w="100"/>
              <w:bottom w:type="dxa" w:w="60"/>
              <w:right w:type="dxa" w:w="100"/>
            </w:tcMar>
          </w:tcPr>
          <w:p>
            <w:r>
              <w:rPr>
                <w:b w:val="false"/>
                <w:bCs w:val="false"/>
                <w:sz w:val="19"/>
                <w:szCs w:val="19"/>
              </w:rPr>
              <w:t xml:space="preserve">Microsoft Fabric (OneLake)</w:t>
            </w:r>
          </w:p>
        </w:tc>
        <w:tc>
          <w:tcPr>
            <w:tcW w:type="dxa" w:w="3900"/>
            <w:tcMar>
              <w:top w:type="dxa" w:w="60"/>
              <w:left w:type="dxa" w:w="100"/>
              <w:bottom w:type="dxa" w:w="60"/>
              <w:right w:type="dxa" w:w="100"/>
            </w:tcMar>
          </w:tcPr>
          <w:p>
            <w:r>
              <w:rPr>
                <w:b w:val="false"/>
                <w:bCs w:val="false"/>
                <w:sz w:val="19"/>
                <w:szCs w:val="19"/>
              </w:rPr>
              <w:t xml:space="preserve">The analytics data lake holding incident history, ticket trends and the map of how systems connect. The agent queries it through safe, pre-built queries — it never writes its own SQL against production.</w:t>
            </w:r>
          </w:p>
        </w:tc>
        <w:tc>
          <w:tcPr>
            <w:tcW w:type="dxa" w:w="2900"/>
            <w:tcMar>
              <w:top w:type="dxa" w:w="60"/>
              <w:left w:type="dxa" w:w="100"/>
              <w:bottom w:type="dxa" w:w="60"/>
              <w:right w:type="dxa" w:w="100"/>
            </w:tcMar>
          </w:tcPr>
          <w:p>
            <w:r>
              <w:rPr>
                <w:b w:val="false"/>
                <w:bCs w:val="false"/>
                <w:sz w:val="19"/>
                <w:szCs w:val="19"/>
              </w:rPr>
              <w:t xml:space="preserve">The archive of every past logbook, with an index.</w:t>
            </w:r>
          </w:p>
        </w:tc>
      </w:tr>
      <w:tr>
        <w:tc>
          <w:tcPr>
            <w:tcW w:type="dxa" w:w="2200"/>
            <w:tcMar>
              <w:top w:type="dxa" w:w="60"/>
              <w:left w:type="dxa" w:w="100"/>
              <w:bottom w:type="dxa" w:w="60"/>
              <w:right w:type="dxa" w:w="100"/>
            </w:tcMar>
          </w:tcPr>
          <w:p>
            <w:r>
              <w:rPr>
                <w:b w:val="false"/>
                <w:bCs w:val="false"/>
                <w:sz w:val="19"/>
                <w:szCs w:val="19"/>
              </w:rPr>
              <w:t xml:space="preserve">Azure Machine Learning</w:t>
            </w:r>
          </w:p>
        </w:tc>
        <w:tc>
          <w:tcPr>
            <w:tcW w:type="dxa" w:w="3900"/>
            <w:tcMar>
              <w:top w:type="dxa" w:w="60"/>
              <w:left w:type="dxa" w:w="100"/>
              <w:bottom w:type="dxa" w:w="60"/>
              <w:right w:type="dxa" w:w="100"/>
            </w:tcMar>
          </w:tcPr>
          <w:p>
            <w:r>
              <w:rPr>
                <w:b w:val="false"/>
                <w:bCs w:val="false"/>
                <w:sz w:val="19"/>
                <w:szCs w:val="19"/>
              </w:rPr>
              <w:t xml:space="preserve">Where the classical forecasting and anomaly-detection models live — trained, versioned, and callable on demand.</w:t>
            </w:r>
          </w:p>
        </w:tc>
        <w:tc>
          <w:tcPr>
            <w:tcW w:type="dxa" w:w="2900"/>
            <w:tcMar>
              <w:top w:type="dxa" w:w="60"/>
              <w:left w:type="dxa" w:w="100"/>
              <w:bottom w:type="dxa" w:w="60"/>
              <w:right w:type="dxa" w:w="100"/>
            </w:tcMar>
          </w:tcPr>
          <w:p>
            <w:r>
              <w:rPr>
                <w:b w:val="false"/>
                <w:bCs w:val="false"/>
                <w:sz w:val="19"/>
                <w:szCs w:val="19"/>
              </w:rPr>
              <w:t xml:space="preserve">The staff statistician with a calculator and a signed worksheet for every answer.</w:t>
            </w:r>
          </w:p>
        </w:tc>
      </w:tr>
      <w:tr>
        <w:tc>
          <w:tcPr>
            <w:tcW w:type="dxa" w:w="2200"/>
            <w:tcMar>
              <w:top w:type="dxa" w:w="60"/>
              <w:left w:type="dxa" w:w="100"/>
              <w:bottom w:type="dxa" w:w="60"/>
              <w:right w:type="dxa" w:w="100"/>
            </w:tcMar>
          </w:tcPr>
          <w:p>
            <w:r>
              <w:rPr>
                <w:b w:val="false"/>
                <w:bCs w:val="false"/>
                <w:sz w:val="19"/>
                <w:szCs w:val="19"/>
              </w:rPr>
              <w:t xml:space="preserve">Azure Durable Functions</w:t>
            </w:r>
          </w:p>
        </w:tc>
        <w:tc>
          <w:tcPr>
            <w:tcW w:type="dxa" w:w="3900"/>
            <w:tcMar>
              <w:top w:type="dxa" w:w="60"/>
              <w:left w:type="dxa" w:w="100"/>
              <w:bottom w:type="dxa" w:w="60"/>
              <w:right w:type="dxa" w:w="100"/>
            </w:tcMar>
          </w:tcPr>
          <w:p>
            <w:r>
              <w:rPr>
                <w:b w:val="false"/>
                <w:bCs w:val="false"/>
                <w:sz w:val="19"/>
                <w:szCs w:val="19"/>
              </w:rPr>
              <w:t xml:space="preserve">A workflow engine for long-running jobs. It runs the weekly watchlist: fan out to gather all signals, wait, retry on failure, fan back in. The agent itself stays simple and stateless.</w:t>
            </w:r>
          </w:p>
        </w:tc>
        <w:tc>
          <w:tcPr>
            <w:tcW w:type="dxa" w:w="2900"/>
            <w:tcMar>
              <w:top w:type="dxa" w:w="60"/>
              <w:left w:type="dxa" w:w="100"/>
              <w:bottom w:type="dxa" w:w="60"/>
              <w:right w:type="dxa" w:w="100"/>
            </w:tcMar>
          </w:tcPr>
          <w:p>
            <w:r>
              <w:rPr>
                <w:b w:val="false"/>
                <w:bCs w:val="false"/>
                <w:sz w:val="19"/>
                <w:szCs w:val="19"/>
              </w:rPr>
              <w:t xml:space="preserve">The project manager who runs the weekly routine and chases stragglers.</w:t>
            </w:r>
          </w:p>
        </w:tc>
      </w:tr>
      <w:tr>
        <w:tc>
          <w:tcPr>
            <w:tcW w:type="dxa" w:w="2200"/>
            <w:tcMar>
              <w:top w:type="dxa" w:w="60"/>
              <w:left w:type="dxa" w:w="100"/>
              <w:bottom w:type="dxa" w:w="60"/>
              <w:right w:type="dxa" w:w="100"/>
            </w:tcMar>
          </w:tcPr>
          <w:p>
            <w:r>
              <w:rPr>
                <w:b w:val="false"/>
                <w:bCs w:val="false"/>
                <w:sz w:val="19"/>
                <w:szCs w:val="19"/>
              </w:rPr>
              <w:t xml:space="preserve">Foundry Agent Service + Azure OpenAI</w:t>
            </w:r>
          </w:p>
        </w:tc>
        <w:tc>
          <w:tcPr>
            <w:tcW w:type="dxa" w:w="3900"/>
            <w:tcMar>
              <w:top w:type="dxa" w:w="60"/>
              <w:left w:type="dxa" w:w="100"/>
              <w:bottom w:type="dxa" w:w="60"/>
              <w:right w:type="dxa" w:w="100"/>
            </w:tcMar>
          </w:tcPr>
          <w:p>
            <w:r>
              <w:rPr>
                <w:b w:val="false"/>
                <w:bCs w:val="false"/>
                <w:sz w:val="19"/>
                <w:szCs w:val="19"/>
              </w:rPr>
              <w:t xml:space="preserve">The hosted runtime and the language model that writes the explanations and recommendations.</w:t>
            </w:r>
          </w:p>
        </w:tc>
        <w:tc>
          <w:tcPr>
            <w:tcW w:type="dxa" w:w="2900"/>
            <w:tcMar>
              <w:top w:type="dxa" w:w="60"/>
              <w:left w:type="dxa" w:w="100"/>
              <w:bottom w:type="dxa" w:w="60"/>
              <w:right w:type="dxa" w:w="100"/>
            </w:tcMar>
          </w:tcPr>
          <w:p>
            <w:r>
              <w:rPr>
                <w:b w:val="false"/>
                <w:bCs w:val="false"/>
                <w:sz w:val="19"/>
                <w:szCs w:val="19"/>
              </w:rPr>
              <w:t xml:space="preserve">The analyst who writes the weekly briefing note.</w:t>
            </w:r>
          </w:p>
        </w:tc>
      </w:tr>
      <w:tr>
        <w:tc>
          <w:tcPr>
            <w:tcW w:type="dxa" w:w="2200"/>
            <w:tcMar>
              <w:top w:type="dxa" w:w="60"/>
              <w:left w:type="dxa" w:w="100"/>
              <w:bottom w:type="dxa" w:w="60"/>
              <w:right w:type="dxa" w:w="100"/>
            </w:tcMar>
          </w:tcPr>
          <w:p>
            <w:r>
              <w:rPr>
                <w:b w:val="false"/>
                <w:bCs w:val="false"/>
                <w:sz w:val="19"/>
                <w:szCs w:val="19"/>
              </w:rPr>
              <w:t xml:space="preserve">Azure Service Bus</w:t>
            </w:r>
          </w:p>
        </w:tc>
        <w:tc>
          <w:tcPr>
            <w:tcW w:type="dxa" w:w="3900"/>
            <w:tcMar>
              <w:top w:type="dxa" w:w="60"/>
              <w:left w:type="dxa" w:w="100"/>
              <w:bottom w:type="dxa" w:w="60"/>
              <w:right w:type="dxa" w:w="100"/>
            </w:tcMar>
          </w:tcPr>
          <w:p>
            <w:r>
              <w:rPr>
                <w:b w:val="false"/>
                <w:bCs w:val="false"/>
                <w:sz w:val="19"/>
                <w:szCs w:val="19"/>
              </w:rPr>
              <w:t xml:space="preserve">A reliable message queue. Risk alerts are published to a topic that dashboards, Teams channels and other agents subscribe to. If a subscriber is down, messages wait — nothing is lost.</w:t>
            </w:r>
          </w:p>
        </w:tc>
        <w:tc>
          <w:tcPr>
            <w:tcW w:type="dxa" w:w="2900"/>
            <w:tcMar>
              <w:top w:type="dxa" w:w="60"/>
              <w:left w:type="dxa" w:w="100"/>
              <w:bottom w:type="dxa" w:w="60"/>
              <w:right w:type="dxa" w:w="100"/>
            </w:tcMar>
          </w:tcPr>
          <w:p>
            <w:r>
              <w:rPr>
                <w:b w:val="false"/>
                <w:bCs w:val="false"/>
                <w:sz w:val="19"/>
                <w:szCs w:val="19"/>
              </w:rPr>
              <w:t xml:space="preserve">The internal mail room with guaranteed delivery.</w:t>
            </w:r>
          </w:p>
        </w:tc>
      </w:tr>
      <w:tr>
        <w:tc>
          <w:tcPr>
            <w:tcW w:type="dxa" w:w="2200"/>
            <w:tcMar>
              <w:top w:type="dxa" w:w="60"/>
              <w:left w:type="dxa" w:w="100"/>
              <w:bottom w:type="dxa" w:w="60"/>
              <w:right w:type="dxa" w:w="100"/>
            </w:tcMar>
          </w:tcPr>
          <w:p>
            <w:r>
              <w:rPr>
                <w:b w:val="false"/>
                <w:bCs w:val="false"/>
                <w:sz w:val="19"/>
                <w:szCs w:val="19"/>
              </w:rPr>
              <w:t xml:space="preserve">Event Grid</w:t>
            </w:r>
          </w:p>
        </w:tc>
        <w:tc>
          <w:tcPr>
            <w:tcW w:type="dxa" w:w="3900"/>
            <w:tcMar>
              <w:top w:type="dxa" w:w="60"/>
              <w:left w:type="dxa" w:w="100"/>
              <w:bottom w:type="dxa" w:w="60"/>
              <w:right w:type="dxa" w:w="100"/>
            </w:tcMar>
          </w:tcPr>
          <w:p>
            <w:r>
              <w:rPr>
                <w:b w:val="false"/>
                <w:bCs w:val="false"/>
                <w:sz w:val="19"/>
                <w:szCs w:val="19"/>
              </w:rPr>
              <w:t xml:space="preserve">Lightweight event announcements — “a major alert fired”, “a change was deployed” — that can trigger an analysis run.</w:t>
            </w:r>
          </w:p>
        </w:tc>
        <w:tc>
          <w:tcPr>
            <w:tcW w:type="dxa" w:w="2900"/>
            <w:tcMar>
              <w:top w:type="dxa" w:w="60"/>
              <w:left w:type="dxa" w:w="100"/>
              <w:bottom w:type="dxa" w:w="60"/>
              <w:right w:type="dxa" w:w="100"/>
            </w:tcMar>
          </w:tcPr>
          <w:p>
            <w:r>
              <w:rPr>
                <w:b w:val="false"/>
                <w:bCs w:val="false"/>
                <w:sz w:val="19"/>
                <w:szCs w:val="19"/>
              </w:rPr>
              <w:t xml:space="preserve">The doorbell.</w:t>
            </w:r>
          </w:p>
        </w:tc>
      </w:tr>
      <w:tr>
        <w:tc>
          <w:tcPr>
            <w:tcW w:type="dxa" w:w="2200"/>
            <w:tcMar>
              <w:top w:type="dxa" w:w="60"/>
              <w:left w:type="dxa" w:w="100"/>
              <w:bottom w:type="dxa" w:w="60"/>
              <w:right w:type="dxa" w:w="100"/>
            </w:tcMar>
          </w:tcPr>
          <w:p>
            <w:r>
              <w:rPr>
                <w:b w:val="false"/>
                <w:bCs w:val="false"/>
                <w:sz w:val="19"/>
                <w:szCs w:val="19"/>
              </w:rPr>
              <w:t xml:space="preserve">Cosmos DB</w:t>
            </w:r>
          </w:p>
        </w:tc>
        <w:tc>
          <w:tcPr>
            <w:tcW w:type="dxa" w:w="3900"/>
            <w:tcMar>
              <w:top w:type="dxa" w:w="60"/>
              <w:left w:type="dxa" w:w="100"/>
              <w:bottom w:type="dxa" w:w="60"/>
              <w:right w:type="dxa" w:w="100"/>
            </w:tcMar>
          </w:tcPr>
          <w:p>
            <w:r>
              <w:rPr>
                <w:b w:val="false"/>
                <w:bCs w:val="false"/>
                <w:sz w:val="19"/>
                <w:szCs w:val="19"/>
              </w:rPr>
              <w:t xml:space="preserve">Stores every prediction made and, later, whether it came true. This is the agent’s accuracy scorecard.</w:t>
            </w:r>
          </w:p>
        </w:tc>
        <w:tc>
          <w:tcPr>
            <w:tcW w:type="dxa" w:w="2900"/>
            <w:tcMar>
              <w:top w:type="dxa" w:w="60"/>
              <w:left w:type="dxa" w:w="100"/>
              <w:bottom w:type="dxa" w:w="60"/>
              <w:right w:type="dxa" w:w="100"/>
            </w:tcMar>
          </w:tcPr>
          <w:p>
            <w:r>
              <w:rPr>
                <w:b w:val="false"/>
                <w:bCs w:val="false"/>
                <w:sz w:val="19"/>
                <w:szCs w:val="19"/>
              </w:rPr>
              <w:t xml:space="preserve">The tipster’s track record, kept honestly.</w:t>
            </w:r>
          </w:p>
        </w:tc>
      </w:tr>
      <w:tr>
        <w:tc>
          <w:tcPr>
            <w:tcW w:type="dxa" w:w="2200"/>
            <w:tcMar>
              <w:top w:type="dxa" w:w="60"/>
              <w:left w:type="dxa" w:w="100"/>
              <w:bottom w:type="dxa" w:w="60"/>
              <w:right w:type="dxa" w:w="100"/>
            </w:tcMar>
          </w:tcPr>
          <w:p>
            <w:r>
              <w:rPr>
                <w:b w:val="false"/>
                <w:bCs w:val="false"/>
                <w:sz w:val="19"/>
                <w:szCs w:val="19"/>
              </w:rPr>
              <w:t xml:space="preserve">Container Apps (KEDA)</w:t>
            </w:r>
          </w:p>
        </w:tc>
        <w:tc>
          <w:tcPr>
            <w:tcW w:type="dxa" w:w="3900"/>
            <w:tcMar>
              <w:top w:type="dxa" w:w="60"/>
              <w:left w:type="dxa" w:w="100"/>
              <w:bottom w:type="dxa" w:w="60"/>
              <w:right w:type="dxa" w:w="100"/>
            </w:tcMar>
          </w:tcPr>
          <w:p>
            <w:r>
              <w:rPr>
                <w:b w:val="false"/>
                <w:bCs w:val="false"/>
                <w:sz w:val="19"/>
                <w:szCs w:val="19"/>
              </w:rPr>
              <w:t xml:space="preserve">Small worker containers that scale up automatically when the ingestion queue gets deep, and down to zero when idle.</w:t>
            </w:r>
          </w:p>
        </w:tc>
        <w:tc>
          <w:tcPr>
            <w:tcW w:type="dxa" w:w="2900"/>
            <w:tcMar>
              <w:top w:type="dxa" w:w="60"/>
              <w:left w:type="dxa" w:w="100"/>
              <w:bottom w:type="dxa" w:w="60"/>
              <w:right w:type="dxa" w:w="100"/>
            </w:tcMar>
          </w:tcPr>
          <w:p>
            <w:r>
              <w:rPr>
                <w:b w:val="false"/>
                <w:bCs w:val="false"/>
                <w:sz w:val="19"/>
                <w:szCs w:val="19"/>
              </w:rPr>
              <w:t xml:space="preserve">Casual staff who clock in only when the mail piles up.</w:t>
            </w:r>
          </w:p>
        </w:tc>
      </w:tr>
      <w:tr>
        <w:tc>
          <w:tcPr>
            <w:tcW w:type="dxa" w:w="2200"/>
            <w:tcMar>
              <w:top w:type="dxa" w:w="60"/>
              <w:left w:type="dxa" w:w="100"/>
              <w:bottom w:type="dxa" w:w="60"/>
              <w:right w:type="dxa" w:w="100"/>
            </w:tcMar>
          </w:tcPr>
          <w:p>
            <w:r>
              <w:rPr>
                <w:b w:val="false"/>
                <w:bCs w:val="false"/>
                <w:sz w:val="19"/>
                <w:szCs w:val="19"/>
              </w:rPr>
              <w:t xml:space="preserve">APIM / Front Door / Entra / Purview / Monitor</w:t>
            </w:r>
          </w:p>
        </w:tc>
        <w:tc>
          <w:tcPr>
            <w:tcW w:type="dxa" w:w="3900"/>
            <w:tcMar>
              <w:top w:type="dxa" w:w="60"/>
              <w:left w:type="dxa" w:w="100"/>
              <w:bottom w:type="dxa" w:w="60"/>
              <w:right w:type="dxa" w:w="100"/>
            </w:tcMar>
          </w:tcPr>
          <w:p>
            <w:r>
              <w:rPr>
                <w:b w:val="false"/>
                <w:bCs w:val="false"/>
                <w:sz w:val="19"/>
                <w:szCs w:val="19"/>
              </w:rPr>
              <w:t xml:space="preserve">The same shared front gate, identity, governance and tracing layer described in the Knowledge Agent document — built once, used by every agent.</w:t>
            </w:r>
          </w:p>
        </w:tc>
        <w:tc>
          <w:tcPr>
            <w:tcW w:type="dxa" w:w="2900"/>
            <w:tcMar>
              <w:top w:type="dxa" w:w="60"/>
              <w:left w:type="dxa" w:w="100"/>
              <w:bottom w:type="dxa" w:w="60"/>
              <w:right w:type="dxa" w:w="100"/>
            </w:tcMar>
          </w:tcPr>
          <w:p>
            <w:r>
              <w:rPr>
                <w:b w:val="false"/>
                <w:bCs w:val="false"/>
                <w:sz w:val="19"/>
                <w:szCs w:val="19"/>
              </w:rPr>
              <w:t xml:space="preserve">Same reception desk, same badges, same CCTV.</w:t>
            </w:r>
          </w:p>
        </w:tc>
      </w:tr>
    </w:tbl>
    <w:p>
      <w:pPr>
        <w:pStyle w:val="Heading1"/>
        <w:spacing w:after="120" w:before="300"/>
      </w:pPr>
      <w:r>
        <w:t xml:space="preserve">4. Task walkthroughs — what happens and what you get</w:t>
      </w:r>
    </w:p>
    <w:p>
      <w:pPr>
        <w:pStyle w:val="Heading2"/>
        <w:spacing w:after="100" w:before="240"/>
      </w:pPr>
      <w:r>
        <w:t xml:space="preserve">Task A: The weekly watchlist run</w:t>
      </w:r>
    </w:p>
    <w:p>
      <w:pPr>
        <w:spacing w:after="120"/>
      </w:pPr>
      <w:r>
        <w:t xml:space="preserve">The task: every Monday morning, produce the ranked list of the operational risks worth worrying about this week.</w:t>
      </w:r>
    </w:p>
    <w:p>
      <w:pPr>
        <w:spacing w:after="120"/>
      </w:pPr>
      <w:r>
        <w:rPr>
          <w:b/>
          <w:bCs/>
        </w:rPr>
        <w:t xml:space="preserve">What happens, step by step:</w:t>
      </w:r>
    </w:p>
    <w:p>
      <w:pPr>
        <w:pStyle w:val="ListParagraph"/>
        <w:numPr>
          <w:ilvl w:val="0"/>
          <w:numId w:val="2"/>
        </w:numPr>
        <w:spacing w:after="60"/>
      </w:pPr>
      <w:r>
        <w:t xml:space="preserve">1. A timer starts the Durable Functions orchestrator. It fans out to the signal readers in parallel: the Ticket Trend Reader queries Fabric for volumes, recurrence and seasonality; the Metrics Trend Reader pulls long-range performance and capacity data.</w:t>
      </w:r>
    </w:p>
    <w:p>
      <w:pPr>
        <w:pStyle w:val="ListParagraph"/>
        <w:numPr>
          <w:ilvl w:val="0"/>
          <w:numId w:val="2"/>
        </w:numPr>
        <w:spacing w:after="60"/>
      </w:pPr>
      <w:r>
        <w:t xml:space="preserve">2. The classical models do the maths. Azure ML forecasting projects each capacity metric forward (“disk on sql-prod-03 crosses 95% on 29 July”); anomaly detection flags metrics drifting from their seasonal baseline; Fabric analytics finds repeat offenders (“same incident, 4th time this quarter”).</w:t>
      </w:r>
    </w:p>
    <w:p>
      <w:pPr>
        <w:pStyle w:val="ListParagraph"/>
        <w:numPr>
          <w:ilvl w:val="0"/>
          <w:numId w:val="2"/>
        </w:numPr>
        <w:spacing w:after="60"/>
      </w:pPr>
      <w:r>
        <w:t xml:space="preserve">3. The Change Correlator lines each suspicious signal up against the change and release records for the same window — because a recent change is the single most common cause of a new problem.</w:t>
      </w:r>
    </w:p>
    <w:p>
      <w:pPr>
        <w:pStyle w:val="ListParagraph"/>
        <w:numPr>
          <w:ilvl w:val="0"/>
          <w:numId w:val="2"/>
        </w:numPr>
        <w:spacing w:after="60"/>
      </w:pPr>
      <w:r>
        <w:t xml:space="preserve">4. The Risk Scorer — a deterministic formula, not the AI — combines likelihood and business impact into a score and ranks the list, so teams see a top five, not a wall of noise.</w:t>
      </w:r>
    </w:p>
    <w:p>
      <w:pPr>
        <w:pStyle w:val="ListParagraph"/>
        <w:numPr>
          <w:ilvl w:val="0"/>
          <w:numId w:val="2"/>
        </w:numPr>
        <w:spacing w:after="60"/>
      </w:pPr>
      <w:r>
        <w:t xml:space="preserve">5. The language model writes the narrative for each risk: what was noticed, why it matters, what to check first. It also calls the Knowledge Agent to attach the relevant runbook to each risk. The evidence critic then strips any sentence that does not trace back to a model output or a record.</w:t>
      </w:r>
    </w:p>
    <w:p>
      <w:pPr>
        <w:pStyle w:val="ListParagraph"/>
        <w:numPr>
          <w:ilvl w:val="0"/>
          <w:numId w:val="2"/>
        </w:numPr>
        <w:spacing w:after="60"/>
      </w:pPr>
      <w:r>
        <w:t xml:space="preserve">6. The Watchlist Publisher sends the result to the Service Bus alerts topic, which fans out to dashboards and Teams channels via the shared Notification Sender.</w:t>
      </w:r>
    </w:p>
    <w:p>
      <w:pPr>
        <w:spacing w:after="120"/>
      </w:pPr>
      <w:r>
        <w:rPr>
          <w:b/>
          <w:bCs/>
        </w:rPr>
        <w:t xml:space="preserve">The result you see:</w:t>
      </w:r>
    </w:p>
    <w:p>
      <w:pPr>
        <w:spacing w:after="120"/>
      </w:pPr>
      <w:r>
        <w:t xml:space="preserve">A Monday-morning watchlist: five ranked risks, each with a score, the evidence behind it (model run IDs, change IDs, incident numbers), a recommended first check, and a link to the applicable runbook. Ops teams review it in minutes and decide what to act on.</w:t>
      </w:r>
    </w:p>
    <w:p>
      <w:pPr>
        <w:pStyle w:val="Heading2"/>
        <w:spacing w:after="100" w:before="240"/>
      </w:pPr>
      <w:r>
        <w:t xml:space="preserve">Task B: “When will this disk be full?” — an on-demand forecast</w:t>
      </w:r>
    </w:p>
    <w:p>
      <w:pPr>
        <w:spacing w:after="120"/>
      </w:pPr>
      <w:r>
        <w:t xml:space="preserve">The task: an engineer (or the DC Ops Agent) asks for a projection on a specific metric.</w:t>
      </w:r>
    </w:p>
    <w:p>
      <w:pPr>
        <w:spacing w:after="120"/>
      </w:pPr>
      <w:r>
        <w:rPr>
          <w:b/>
          <w:bCs/>
        </w:rPr>
        <w:t xml:space="preserve">What happens, step by step:</w:t>
      </w:r>
    </w:p>
    <w:p>
      <w:pPr>
        <w:pStyle w:val="ListParagraph"/>
        <w:numPr>
          <w:ilvl w:val="0"/>
          <w:numId w:val="2"/>
        </w:numPr>
        <w:spacing w:after="60"/>
      </w:pPr>
      <w:r>
        <w:t xml:space="preserve">1. The request arrives at the agent’s forecast endpoint through the shared front gate (identity checked, rate-limited, correlation ID stamped).</w:t>
      </w:r>
    </w:p>
    <w:p>
      <w:pPr>
        <w:pStyle w:val="ListParagraph"/>
        <w:numPr>
          <w:ilvl w:val="0"/>
          <w:numId w:val="2"/>
        </w:numPr>
        <w:spacing w:after="60"/>
      </w:pPr>
      <w:r>
        <w:t xml:space="preserve">2. The Forecaster tool calls the versioned Azure ML model for that metric with the requested horizon (say, 30 days).</w:t>
      </w:r>
    </w:p>
    <w:p>
      <w:pPr>
        <w:pStyle w:val="ListParagraph"/>
        <w:numPr>
          <w:ilvl w:val="0"/>
          <w:numId w:val="2"/>
        </w:numPr>
        <w:spacing w:after="60"/>
      </w:pPr>
      <w:r>
        <w:t xml:space="preserve">3. The answer comes back with the projection, the predicted threshold-breach date, a confidence figure, and the exact model version — so the same question can be re-run later and audited.</w:t>
      </w:r>
    </w:p>
    <w:p>
      <w:pPr>
        <w:spacing w:after="120"/>
      </w:pPr>
      <w:r>
        <w:rPr>
          <w:b/>
          <w:bCs/>
        </w:rPr>
        <w:t xml:space="preserve">The result you see:</w:t>
      </w:r>
    </w:p>
    <w:p>
      <w:pPr>
        <w:spacing w:after="120"/>
      </w:pPr>
      <w:r>
        <w:t xml:space="preserve">“sql-prod-03 disk is at 81.2%; at the current trend it crosses the 95% threshold on 29 July (confidence 0.88, model capacity-forecast-v3).” Actionable, dated, and reproducible.</w:t>
      </w:r>
    </w:p>
    <w:p>
      <w:pPr>
        <w:pStyle w:val="Heading2"/>
        <w:spacing w:after="100" w:before="240"/>
      </w:pPr>
      <w:r>
        <w:t xml:space="preserve">Task C: Spotting a repeat offender</w:t>
      </w:r>
    </w:p>
    <w:p>
      <w:pPr>
        <w:spacing w:after="120"/>
      </w:pPr>
      <w:r>
        <w:t xml:space="preserve">The task: notice that the “same” incident keeps coming back before anyone connects the dots.</w:t>
      </w:r>
    </w:p>
    <w:p>
      <w:pPr>
        <w:spacing w:after="120"/>
      </w:pPr>
      <w:r>
        <w:rPr>
          <w:b/>
          <w:bCs/>
        </w:rPr>
        <w:t xml:space="preserve">What happens, step by step:</w:t>
      </w:r>
    </w:p>
    <w:p>
      <w:pPr>
        <w:pStyle w:val="ListParagraph"/>
        <w:numPr>
          <w:ilvl w:val="0"/>
          <w:numId w:val="2"/>
        </w:numPr>
        <w:spacing w:after="60"/>
      </w:pPr>
      <w:r>
        <w:t xml:space="preserve">1. Fabric analytics groups past incidents by system, category and symptom similarity across the quarter.</w:t>
      </w:r>
    </w:p>
    <w:p>
      <w:pPr>
        <w:pStyle w:val="ListParagraph"/>
        <w:numPr>
          <w:ilvl w:val="0"/>
          <w:numId w:val="2"/>
        </w:numPr>
        <w:spacing w:after="60"/>
      </w:pPr>
      <w:r>
        <w:t xml:space="preserve">2. When a cluster crosses a threshold (e.g. four occurrences), it becomes a risk candidate; the Change Correlator and the narrative step add the likely story and a recommendation — typically “raise a problem record; check firmware baseline against the runbook”.</w:t>
      </w:r>
    </w:p>
    <w:p>
      <w:pPr>
        <w:spacing w:after="120"/>
      </w:pPr>
      <w:r>
        <w:rPr>
          <w:b/>
          <w:bCs/>
        </w:rPr>
        <w:t xml:space="preserve">The result you see:</w:t>
      </w:r>
    </w:p>
    <w:p>
      <w:pPr>
        <w:spacing w:after="120"/>
      </w:pPr>
      <w:r>
        <w:t xml:space="preserve">An alert like: “Store 0417 EFTPOS fault — 4th occurrence this quarter (INC-2026-08850, -08871, -08872). Recommend problem record + firmware check per SOP-EFTPOS-TERM-FAULT-001.” Recurring pain gets a name and an owner.</w:t>
      </w:r>
    </w:p>
    <w:p>
      <w:pPr>
        <w:pStyle w:val="Heading2"/>
        <w:spacing w:after="100" w:before="240"/>
      </w:pPr>
      <w:r>
        <w:t xml:space="preserve">Task D: Keeping the agent honest — the feedback loop</w:t>
      </w:r>
    </w:p>
    <w:p>
      <w:pPr>
        <w:spacing w:after="120"/>
      </w:pPr>
      <w:r>
        <w:t xml:space="preserve">The task: measure whether predictions actually come true, so trust is earned with evidence.</w:t>
      </w:r>
    </w:p>
    <w:p>
      <w:pPr>
        <w:spacing w:after="120"/>
      </w:pPr>
      <w:r>
        <w:rPr>
          <w:b/>
          <w:bCs/>
        </w:rPr>
        <w:t xml:space="preserve">What happens, step by step:</w:t>
      </w:r>
    </w:p>
    <w:p>
      <w:pPr>
        <w:pStyle w:val="ListParagraph"/>
        <w:numPr>
          <w:ilvl w:val="0"/>
          <w:numId w:val="2"/>
        </w:numPr>
        <w:spacing w:after="60"/>
      </w:pPr>
      <w:r>
        <w:t xml:space="preserve">1. When a predicted risk is investigated, the engineer (or another agent) posts the outcome back: confirmed, false alarm, or prevented in time.</w:t>
      </w:r>
    </w:p>
    <w:p>
      <w:pPr>
        <w:pStyle w:val="ListParagraph"/>
        <w:numPr>
          <w:ilvl w:val="0"/>
          <w:numId w:val="2"/>
        </w:numPr>
        <w:spacing w:after="60"/>
      </w:pPr>
      <w:r>
        <w:t xml:space="preserve">2. The outcome is stored in Cosmos DB next to the original prediction, building an accuracy scorecard per risk type.</w:t>
      </w:r>
    </w:p>
    <w:p>
      <w:pPr>
        <w:pStyle w:val="ListParagraph"/>
        <w:numPr>
          <w:ilvl w:val="0"/>
          <w:numId w:val="2"/>
        </w:numPr>
        <w:spacing w:after="60"/>
      </w:pPr>
      <w:r>
        <w:t xml:space="preserve">3. That scorecard feeds the evaluation tooling (Foundry evaluations and the Agent Optimizer) — and it is the only currency accepted for expanding the agent’s scope. Autonomy is promoted on evidence, never on enthusiasm.</w:t>
      </w:r>
    </w:p>
    <w:p>
      <w:pPr>
        <w:spacing w:after="120"/>
      </w:pPr>
      <w:r>
        <w:rPr>
          <w:b/>
          <w:bCs/>
        </w:rPr>
        <w:t xml:space="preserve">The result you see:</w:t>
      </w:r>
    </w:p>
    <w:p>
      <w:pPr>
        <w:spacing w:after="120"/>
      </w:pPr>
      <w:r>
        <w:t xml:space="preserve">A public track record: “capacity forecasts 91% accurate over the last quarter; recurrence alerts 84%”. Teams learn which alerts to trust, and the roadmap for wider scope writes itself.</w:t>
      </w:r>
    </w:p>
    <w:p>
      <w:pPr>
        <w:pStyle w:val="Heading1"/>
        <w:spacing w:after="120" w:before="300"/>
      </w:pPr>
      <w:r>
        <w:t xml:space="preserve">5. The safety rules, translated</w:t>
      </w:r>
    </w:p>
    <w:p>
      <w:pPr>
        <w:pStyle w:val="ListParagraph"/>
        <w:numPr>
          <w:ilvl w:val="0"/>
          <w:numId w:val="2"/>
        </w:numPr>
        <w:spacing w:after="60"/>
      </w:pPr>
      <w:r>
        <w:t xml:space="preserve">Advisory only, enforced by identity — not by promises. The agent’s Entra badge simply has no write permission to any live system; the only things it can write to are its own results store and its own alerts topic.</w:t>
      </w:r>
    </w:p>
    <w:p>
      <w:pPr>
        <w:pStyle w:val="ListParagraph"/>
        <w:numPr>
          <w:ilvl w:val="0"/>
          <w:numId w:val="2"/>
        </w:numPr>
        <w:spacing w:after="60"/>
      </w:pPr>
      <w:r>
        <w:t xml:space="preserve">The AI never does the arithmetic. Numbers come from versioned classical models; the AI explains them, and a critic deletes any claim without evidence behind it.</w:t>
      </w:r>
    </w:p>
    <w:p>
      <w:pPr>
        <w:pStyle w:val="ListParagraph"/>
        <w:numPr>
          <w:ilvl w:val="0"/>
          <w:numId w:val="2"/>
        </w:numPr>
        <w:spacing w:after="60"/>
      </w:pPr>
      <w:r>
        <w:t xml:space="preserve">Personal data is pseudonymised before any AI step, same as every other agent — the model sees tokens, never real names.</w:t>
      </w:r>
    </w:p>
    <w:p>
      <w:pPr>
        <w:pStyle w:val="ListParagraph"/>
        <w:numPr>
          <w:ilvl w:val="0"/>
          <w:numId w:val="2"/>
        </w:numPr>
        <w:spacing w:after="60"/>
      </w:pPr>
      <w:r>
        <w:t xml:space="preserve">Every prediction is a signed, replayable record: inputs, model versions, evidence, narrative, human decision, outcome.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2026-07-19T20:42:05.670Z</dcterms:created>
  <dcterms:modified xsi:type="dcterms:W3CDTF">2026-07-19T20:42:05.670Z</dcterms:modified>
</cp:coreProperties>
</file>

<file path=docProps/custom.xml><?xml version="1.0" encoding="utf-8"?>
<Properties xmlns="http://schemas.openxmlformats.org/officeDocument/2006/custom-properties" xmlns:vt="http://schemas.openxmlformats.org/officeDocument/2006/docPropsVTypes"/>
</file>