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52"/>
          <w:szCs w:val="52"/>
        </w:rPr>
        <w:t xml:space="preserve">REST Endpoint Reference</w:t>
      </w:r>
    </w:p>
    <w:p>
      <w:pPr>
        <w:spacing w:after="100"/>
        <w:jc w:val="center"/>
      </w:pPr>
      <w:r>
        <w:rPr>
          <w:color w:val="555555"/>
          <w:sz w:val="26"/>
          <w:szCs w:val="26"/>
        </w:rPr>
        <w:t xml:space="preserve">Knowledge Agent &amp; Predictive Agent — how other agents and apps talk to them</w:t>
      </w:r>
    </w:p>
    <w:p>
      <w:pPr>
        <w:jc w:val="center"/>
      </w:pPr>
      <w:r>
        <w:rPr>
          <w:color w:val="888888"/>
          <w:sz w:val="22"/>
          <w:szCs w:val="22"/>
        </w:rPr>
        <w:t xml:space="preserve">Coles IT Operations · Microsoft AI Foundry on Azure · July 2026</w:t>
      </w:r>
    </w:p>
    <w:p/>
    <w:p>
      <w:pPr>
        <w:pStyle w:val="Heading1"/>
        <w:spacing w:after="120" w:before="300"/>
      </w:pPr>
      <w:r>
        <w:t xml:space="preserve">1. REST endpoints, in plain words</w:t>
      </w:r>
    </w:p>
    <w:p>
      <w:pPr>
        <w:spacing w:after="120"/>
      </w:pPr>
      <w:r>
        <w:t xml:space="preserve">A REST endpoint is simply a web address that accepts a request and returns a structured answer. “GET” means “read something”; “POST” means “send something in”. Both agents publish a small, fixed menu of these addresses. Any other agent — Agent Assist, Voice, Conversational, RCA, DC Ops — or any approved application calls the same addresses in the same way. There are no special side channels: one front gate, one menu, one set of rules.</w:t>
      </w:r>
    </w:p>
    <w:p>
      <w:pPr>
        <w:pStyle w:val="Heading1"/>
        <w:spacing w:after="120" w:before="300"/>
      </w:pPr>
      <w:r>
        <w:t xml:space="preserve">2. The shared rules (apply to every endpoint)</w:t>
      </w:r>
    </w:p>
    <w:p>
      <w:pPr>
        <w:spacing w:after="120"/>
      </w:pPr>
      <w:r>
        <w:rPr>
          <w:b/>
          <w:bCs/>
        </w:rPr>
        <w:t xml:space="preserve">Base addresses: </w:t>
      </w:r>
      <w:r>
        <w:t xml:space="preserve">https://api.coles-itops.internal/agents/knowledge/v1 and …/agents/predictive/v1. Every call passes through Front Door → Application Gateway → API Management (the “front gate”) before reaching an agent.</w:t>
      </w:r>
    </w:p>
    <w:p>
      <w:pPr>
        <w:spacing w:after="120"/>
      </w:pPr>
      <w:r>
        <w:rPr>
          <w:b/>
          <w:bCs/>
        </w:rPr>
        <w:t xml:space="preserve">Every request must carry four headers: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500"/>
      </w:tblGrid>
      <w:tr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Header</w:t>
            </w:r>
          </w:p>
        </w:tc>
        <w:tc>
          <w:tcPr>
            <w:tcW w:type="dxa" w:w="3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 it exists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Authorization: Bearer &lt;token&gt;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caller’s Entra ID token — its digital staff badge. For user-initiated calls the “on-behalf-of” flow is used, so the agent can never see more than the human who asked.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Identity: who is calling.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Ocp-Apim-Subscription-Key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per-caller key issued by API Management.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Quotas: each caller has its own rate and token limits, so one noisy agent cannot starve the rest.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x-correlation-id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tracking ID minted at the first hop and passed along every subsequent hop.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Traceability: any answer can be replayed end to end.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x-caller-agent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calling agent’s name, e.g. agent-assist.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Attribution and per-agent metrics.</w:t>
            </w:r>
          </w:p>
        </w:tc>
      </w:tr>
    </w:tbl>
    <w:p>
      <w:pPr>
        <w:spacing w:after="120"/>
      </w:pPr>
      <w:r>
        <w:rPr>
          <w:b/>
          <w:bCs/>
        </w:rPr>
        <w:t xml:space="preserve">Errors come back in one standard shape: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"error": { "code": "NOT_GROUNDED", "message": "No approved source found; escalate to human.", "correlation_id": "corr-8871-01" } }</w:t>
      </w:r>
    </w:p>
    <w:p>
      <w:pPr>
        <w:spacing w:after="120"/>
      </w:pPr>
      <w:r>
        <w:t xml:space="preserve">Common codes: UNAUTHORIZED (bad/missing badge), FORBIDDEN_SCOPE (badge lacks the right role), NOT_GROUNDED (no evidence — the Knowledge Agent refuses to guess), RATE_LIMITED (over quota), VALIDATION_ERROR (malformed request).</w:t>
      </w:r>
    </w:p>
    <w:p>
      <w:pPr>
        <w:spacing w:after="120"/>
      </w:pPr>
      <w:r>
        <w:t xml:space="preserve">Access is role-based: Knowledge.Query for asking, Knowledge.Curate for ingesting/drafting, Predictive.Read for all reads, Predictive.Feedback for posting outcomes. A caller’s badge either has the role or the call is refused at the gate.</w:t>
      </w:r>
    </w:p>
    <w:p>
      <w:pPr>
        <w:pStyle w:val="Heading1"/>
        <w:spacing w:after="120" w:before="300"/>
      </w:pPr>
      <w:r>
        <w:t xml:space="preserve">3. Knowledge Agent endpoints</w:t>
      </w:r>
    </w:p>
    <w:p>
      <w:pPr>
        <w:pStyle w:val="Heading2"/>
        <w:spacing w:after="100" w:before="240"/>
      </w:pPr>
      <w:r>
        <w:t xml:space="preserve">POST /query — ask a question, get a grounded answer</w:t>
      </w:r>
    </w:p>
    <w:p>
      <w:pPr>
        <w:spacing w:after="120"/>
      </w:pPr>
      <w:r>
        <w:t xml:space="preserve">The workhorse. Send a question plus optional context (ticket ID, system); receive a short answer with citations. This is the endpoint every other agent uses when it needs knowledge.</w:t>
      </w:r>
    </w:p>
    <w:p>
      <w:pPr>
        <w:spacing w:after="120"/>
      </w:pPr>
      <w:r>
        <w:rPr>
          <w:b/>
          <w:bCs/>
        </w:rPr>
        <w:t xml:space="preserve">Example request: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"question": "EFTPOS terminal offline at checkout, what are the triage steps?", "context": { "ticket_id": "INC-2026-08872", "system": "EFTPOS" }, "filters": { "doc_types": ["runbook", "sop"], "max_sources": 3 } }</w:t>
      </w:r>
    </w:p>
    <w:p>
      <w:pPr>
        <w:spacing w:after="120"/>
      </w:pPr>
      <w:r>
        <w:rPr>
          <w:b/>
          <w:bCs/>
        </w:rPr>
        <w:t xml:space="preserve">Example response: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"answer": "Follow the EFTPOS terminal fault triage runbook: 1) confirm power and network LED state…", "confidence": 0.93, "sources": [ { "doc_id": "SOP-EFTPOS-TERM-FAULT-001", "section": "Triage steps", "last_updated": "2026-05-02", "url": "https://kb…" } ], "correlation_id": "corr-8872-04" }</w:t>
      </w:r>
    </w:p>
    <w:p>
      <w:pPr>
        <w:spacing w:after="120"/>
      </w:pPr>
      <w:r>
        <w:t xml:space="preserve">If nothing in the approved knowledge base supports an answer, you get NOT_GROUNDED — by design, never a guess. Voice callers can add "response_mode": "voice_short" for spoken-friendly phrasing.</w:t>
      </w:r>
    </w:p>
    <w:p>
      <w:pPr>
        <w:pStyle w:val="Heading2"/>
        <w:spacing w:after="100" w:before="240"/>
      </w:pPr>
      <w:r>
        <w:t xml:space="preserve">POST /search — raw search results, no answer-writing</w:t>
      </w:r>
    </w:p>
    <w:p>
      <w:pPr>
        <w:spacing w:after="120"/>
      </w:pPr>
      <w:r>
        <w:t xml:space="preserve">Returns the ranked passages themselves rather than a synthesised answer. Used by agents that do their own reasoning — the RCA Agent gathering evidence, for example. Request: { "query": "database performance degradation", "top": 5 }.</w:t>
      </w:r>
    </w:p>
    <w:p>
      <w:pPr>
        <w:pStyle w:val="Heading2"/>
        <w:spacing w:after="100" w:before="240"/>
      </w:pPr>
      <w:r>
        <w:t xml:space="preserve">POST /ingest — add or update a document (curators only)</w:t>
      </w:r>
    </w:p>
    <w:p>
      <w:pPr>
        <w:spacing w:after="120"/>
      </w:pPr>
      <w:r>
        <w:t xml:space="preserve">Points the controlled ingestion pipeline at an approved document so it becomes searchable: parse → chunk → remove personal data → index. Requires the Knowledge.Curate role. Also triggered automatically by repository change events and by the knowledge.ingest message topic (e.g. an approved RCA becoming a knowledge candidate).</w:t>
      </w:r>
    </w:p>
    <w:p>
      <w:pPr>
        <w:pStyle w:val="Heading2"/>
        <w:spacing w:after="100" w:before="240"/>
      </w:pPr>
      <w:r>
        <w:t xml:space="preserve">GET /freshness/report — knowledge-base health</w:t>
      </w:r>
    </w:p>
    <w:p>
      <w:pPr>
        <w:spacing w:after="120"/>
      </w:pPr>
      <w:r>
        <w:t xml:space="preserve">Lists stale, duplicate and conflicting documents. Options like ?older_than_days=180 narrow the sweep. Consumed by knowledge owners on a schedule.</w:t>
      </w:r>
    </w:p>
    <w:p>
      <w:pPr>
        <w:pStyle w:val="Heading2"/>
        <w:spacing w:after="100" w:before="240"/>
      </w:pPr>
      <w:r>
        <w:t xml:space="preserve">GET /gaps — what’s missing</w:t>
      </w:r>
    </w:p>
    <w:p>
      <w:pPr>
        <w:spacing w:after="120"/>
      </w:pPr>
      <w:r>
        <w:t xml:space="preserve">The clustered list of questions the agent could not answer well — effectively a prioritised backlog of articles worth writing.</w:t>
      </w:r>
    </w:p>
    <w:p>
      <w:pPr>
        <w:pStyle w:val="Heading2"/>
        <w:spacing w:after="100" w:before="240"/>
      </w:pPr>
      <w:r>
        <w:t xml:space="preserve">POST /articles/draft — turn an incident or RCA into a draft article</w:t>
      </w:r>
    </w:p>
    <w:p>
      <w:pPr>
        <w:spacing w:after="120"/>
      </w:pPr>
      <w:r>
        <w:t xml:space="preserve">Request: { "source_type": "rca", "source_id": "RCA-2026-0142", "target_doc_type": "known_issue" }. The result is a draft queued for human review — this endpoint can never publish anything directly.</w:t>
      </w:r>
    </w:p>
    <w:p>
      <w:pPr>
        <w:pStyle w:val="Heading2"/>
        <w:spacing w:after="100" w:before="240"/>
      </w:pPr>
      <w:r>
        <w:t xml:space="preserve">GET /health — is the agent alive and how fresh is its index</w:t>
      </w:r>
    </w:p>
    <w:p>
      <w:pPr>
        <w:spacing w:after="120"/>
      </w:pPr>
      <w:r>
        <w:t xml:space="preserve">Returns liveness plus the timestamp of the last successful index update. Used by monitoring, not humans.</w:t>
      </w:r>
    </w:p>
    <w:p>
      <w:pPr>
        <w:pStyle w:val="Heading1"/>
        <w:spacing w:after="120" w:before="300"/>
      </w:pPr>
      <w:r>
        <w:t xml:space="preserve">4. Predictive Agent endpoints</w:t>
      </w:r>
    </w:p>
    <w:p>
      <w:pPr>
        <w:spacing w:after="120"/>
      </w:pPr>
      <w:r>
        <w:t xml:space="preserve">Reminder: nothing on this menu can change a live system. Every endpoint either reads analysis or records an outcome in the agent’s own store.</w:t>
      </w:r>
    </w:p>
    <w:p>
      <w:pPr>
        <w:pStyle w:val="Heading2"/>
        <w:spacing w:after="100" w:before="240"/>
      </w:pPr>
      <w:r>
        <w:t xml:space="preserve">GET /risks — the current ranked risk list</w:t>
      </w:r>
    </w:p>
    <w:p>
      <w:pPr>
        <w:spacing w:after="120"/>
      </w:pPr>
      <w:r>
        <w:t xml:space="preserve">Options: ?top=5&amp;domain=network|database|apps|all&amp;min_score=0.5. Each risk carries a title, likelihood, impact, score, the evidence list (incident numbers, model run IDs, change IDs), a recommended first check, and the related runbook.</w:t>
      </w:r>
    </w:p>
    <w:p>
      <w:pPr>
        <w:spacing w:after="120"/>
      </w:pPr>
      <w:r>
        <w:rPr>
          <w:b/>
          <w:bCs/>
        </w:rPr>
        <w:t xml:space="preserve">Example item: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"risk_id": "RSK-2026-0713", "title": "Store 0417 EFTPOS recurrence — 4th this quarter", "likelihood": 0.82, "impact": "high", "score": 0.78, "evidence": ["INC-2026-08850", "INC-2026-08871", "INC-2026-08872"], "recommendation": "Check terminal firmware baseline; raise problem record.", "related_knowledge": { "doc_id": "SOP-EFTPOS-TERM-FAULT-001" } }</w:t>
      </w:r>
    </w:p>
    <w:p>
      <w:pPr>
        <w:pStyle w:val="Heading2"/>
        <w:spacing w:after="100" w:before="240"/>
      </w:pPr>
      <w:r>
        <w:t xml:space="preserve">GET /watchlist/weekly — the Monday watchlist</w:t>
      </w:r>
    </w:p>
    <w:p>
      <w:pPr>
        <w:spacing w:after="120"/>
      </w:pPr>
      <w:r>
        <w:t xml:space="preserve">The same shape as /risks plus a trend direction per item. It is also pushed automatically every Monday to the predictive.risk-alerts message topic, which fans out to dashboards and Teams — so most people receive it rather than fetch it.</w:t>
      </w:r>
    </w:p>
    <w:p>
      <w:pPr>
        <w:pStyle w:val="Heading2"/>
        <w:spacing w:after="100" w:before="240"/>
      </w:pPr>
      <w:r>
        <w:t xml:space="preserve">POST /forecast — project a metric forward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Request: { "metric": "disk_used_pct", "resource": "sql-prod-03", "horizon_days": 30 }.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Response: { "current": 81.2, "threshold": 95, "predicted_breach_date": "2026-07-29", "confidence": 0.88, "model": "azureml:capacity-forecast-v3" }.</w:t>
      </w:r>
    </w:p>
    <w:p>
      <w:pPr>
        <w:spacing w:after="120"/>
      </w:pPr>
      <w:r>
        <w:t xml:space="preserve">The model version in the response is the audit hook: the same question re-asked later against the same model version gives the same answer.</w:t>
      </w:r>
    </w:p>
    <w:p>
      <w:pPr>
        <w:pStyle w:val="Heading2"/>
        <w:spacing w:after="100" w:before="240"/>
      </w:pPr>
      <w:r>
        <w:t xml:space="preserve">POST /trends/analyze — an ad-hoc trend question</w:t>
      </w:r>
    </w:p>
    <w:p>
      <w:pPr>
        <w:spacing w:after="120"/>
      </w:pPr>
      <w:r>
        <w:t xml:space="preserve">Request: { "scope": { "category": "refrigeration", "period_days": 90 }, "question": "Are refrigeration incidents increasing?" }. The numbers come from Fabric/Azure ML; the narrative explains them with evidence attached.</w:t>
      </w:r>
    </w:p>
    <w:p>
      <w:pPr>
        <w:pStyle w:val="Heading2"/>
        <w:spacing w:after="100" w:before="240"/>
      </w:pPr>
      <w:r>
        <w:t xml:space="preserve">POST /feedback — tell the agent whether it was right</w:t>
      </w:r>
    </w:p>
    <w:p>
      <w:pPr>
        <w:spacing w:after="120"/>
      </w:pPr>
      <w:r>
        <w:t xml:space="preserve">Request: { "risk_id": "RSK-2026-0713", "outcome": "confirmed", "notes": "Firmware mismatch found on 3 terminals", "reported_by": "dcops-agent" }. Outcomes build the accuracy scorecard that decides whether the agent ever earns wider scope.</w:t>
      </w:r>
    </w:p>
    <w:p>
      <w:pPr>
        <w:pStyle w:val="Heading2"/>
        <w:spacing w:after="100" w:before="240"/>
      </w:pPr>
      <w:r>
        <w:t xml:space="preserve">GET /health — liveness</w:t>
      </w:r>
    </w:p>
    <w:p>
      <w:pPr>
        <w:spacing w:after="120"/>
      </w:pPr>
      <w:r>
        <w:t xml:space="preserve">Standard health probe for monitoring.</w:t>
      </w:r>
    </w:p>
    <w:p>
      <w:pPr>
        <w:pStyle w:val="Heading1"/>
        <w:spacing w:after="120" w:before="300"/>
      </w:pPr>
      <w:r>
        <w:t xml:space="preserve">5. Who calls what — the traffic map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2900"/>
      </w:tblGrid>
      <w:tr>
        <w:tc>
          <w:tcPr>
            <w:tcW w:type="dxa" w:w="2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Caller</w:t>
            </w:r>
          </w:p>
        </w:tc>
        <w:tc>
          <w:tcPr>
            <w:tcW w:type="dxa" w:w="3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Endpoints used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 Assist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/query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Show the right runbook and similar incidents beside the ticket.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Conversational Agent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/query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Grounded self-service answers with source links.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Voice Agent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/query (voice_short)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Short spoken answers on the phone.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RCA Agent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/search; publishes to knowledge.ingest topic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 gathering; approved RCAs become knowledge.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DC Ops Agent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/query; predictive POST /forecast, POST /feedback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Playbook lookup; capacity checks; confirming predictions.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Predictive Agent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 POST /query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Attaches the relevant runbook to each published risk.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Ops dashboards / teams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predictive GET /risks, GET /watchlist/weekly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weekly review.</w:t>
            </w:r>
          </w:p>
        </w:tc>
      </w:tr>
    </w:tbl>
    <w:p>
      <w:pPr>
        <w:pStyle w:val="Heading1"/>
        <w:spacing w:after="120" w:before="300"/>
      </w:pPr>
      <w:r>
        <w:t xml:space="preserve">6. The asynchronous channels (for completeness)</w:t>
      </w:r>
    </w:p>
    <w:p>
      <w:pPr>
        <w:spacing w:after="120"/>
      </w:pPr>
      <w:r>
        <w:t xml:space="preserve">Not everything is a request-and-wait call. Three message channels carry the event-driven traffic: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Bus topic predictive.risk-alerts — the Predictive Agent publishes; Notification Sender, dashboards and interested agents subscribe. Guaranteed delivery, dead-letter queue for failures.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 Bus topic knowledge.ingest — any agent can drop an approved knowledge candidate here (an RCA lesson, a resolved-incident summary); the Knowledge Agent’s ingestion pipeline picks it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Grid — lightweight “something happened” announcements: a document changed, an alert fired, a change was deployed. These trigger ingestion runs and analysis workflows without anyone polling.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2026-07-19T20:42:05.679Z</dcterms:created>
  <dcterms:modified xsi:type="dcterms:W3CDTF">2026-07-19T20:42:05.679Z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