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6E56"/>
          <w:sz w:val="36"/>
          <w:szCs w:val="36"/>
        </w:rPr>
        <w:t xml:space="preserve">SIH 26130 — Regulatory Knowledge Engine: Research Brief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What info to collect, what documents to request, and which sectors and departments the engine must cover</w:t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20"/>
        <w:jc w:val="both"/>
      </w:pPr>
      <w:r>
        <w:t xml:space="preserve">The three screens you shared — Business Profile, Customised Approval Checklist, and Unified Application Form — are the front end of the regulatory knowledge engine. This brief is the back end research those screens need: what fields to actually ask for, what the dropdown options should be, what documents to request, which industry sectors the engine must recognize, and which government departments/agencies sit behind each approval. Everything below is sourced from Maharashtra's own single-window portal (MAITRI), MPCB, and the Directorate of Industrial Safety and Health (DISH) — the real systems this platform has to sit in front of.</w:t>
      </w:r>
    </w:p>
    <w:p>
      <w:pPr>
        <w:pStyle w:val="Heading1"/>
        <w:spacing w:after="140" w:before="280"/>
      </w:pPr>
      <w:r>
        <w:t xml:space="preserve">2. Business Profile — fields and options</w:t>
      </w:r>
    </w:p>
    <w:p>
      <w:pPr>
        <w:spacing w:after="120"/>
        <w:jc w:val="both"/>
      </w:pPr>
      <w:r>
        <w:t xml:space="preserve">This maps directly to your Business Profile screen. Each field below is a real filter MAITRI itself uses to classify a project, so using the same options keeps your engine's logic aligned with the actual approval rules rather than an invented taxonomy.</w:t>
      </w:r>
    </w:p>
    <w:p>
      <w:pPr>
        <w:pStyle w:val="Heading2"/>
        <w:spacing w:after="100" w:before="220"/>
      </w:pPr>
      <w:r>
        <w:t xml:space="preserve">2.1 Investment Scale</w:t>
      </w:r>
    </w:p>
    <w:p>
      <w:pPr>
        <w:spacing w:after="120"/>
        <w:jc w:val="both"/>
      </w:pPr>
      <w:r>
        <w:t xml:space="preserve">Recommend using the official Udyam/MSME classification (revised April 2025) rather than a made-up small/medium/large split — it's the classification every other government scheme and incentive already keys off, which matters directly for the schemes and incentives matcher.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000"/>
      </w:tblGrid>
      <w:tr>
        <w:tc>
          <w:tcPr>
            <w:tcW w:type="dxa" w:w="26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39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Investment in plant &amp; machinery / equipment</w:t>
            </w:r>
          </w:p>
        </w:tc>
        <w:tc>
          <w:tcPr>
            <w:tcW w:type="dxa" w:w="30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Annual turnover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₹2.5 crore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₹10 crore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₹25 crore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₹100 crore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₹125 crore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₹500 crore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/ Mega / Ultra-Mega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Above ₹125 crore (large); Maharashtra's own Large/Mega/Ultra-Mega tiers apply above ₹10 crore project cost under the Industrial Policy 2013 and route through MAITRI directly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rPr>
          <w:i/>
          <w:iCs/>
          <w:color w:val="6B6B63"/>
          <w:sz w:val="19"/>
          <w:szCs w:val="19"/>
        </w:rPr>
        <w:t xml:space="preserve">A unit must meet both the investment and turnover limit to fall in a slab — if either is exceeded, it moves to the next slab up.</w:t>
      </w:r>
    </w:p>
    <w:p>
      <w:pPr>
        <w:pStyle w:val="Heading2"/>
        <w:spacing w:after="100" w:before="220"/>
      </w:pPr>
      <w:r>
        <w:t xml:space="preserve">2.2 Industry Sector</w:t>
      </w:r>
    </w:p>
    <w:p>
      <w:pPr>
        <w:spacing w:after="120"/>
        <w:jc w:val="both"/>
      </w:pPr>
      <w:r>
        <w:t xml:space="preserve">This is the exact activity-sector list MAITRI's own "Comprehensive list of State Approvals" filter uses. Matching it means your engine's sector field maps one-to-one onto how Maharashtra's departments already classify approvals — no translation layer needed later.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0"/>
      </w:tblGrid>
      <w:tr>
        <w:tc>
          <w:tcPr>
            <w:tcW w:type="dxa" w:w="10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85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Sector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Agro processing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Food and fruit processing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Plastic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Chemical &amp; fertilizer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Pharmaceutical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Electronics &amp; electrical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Automobile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Paper &amp; paper-based products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Steel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/ ITES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Sugar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Distillery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Mineral based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Conventional &amp; non-conventional energy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8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</w:tr>
    </w:tbl>
    <w:p>
      <w:pPr>
        <w:pStyle w:val="Heading2"/>
        <w:spacing w:after="100" w:before="220"/>
      </w:pPr>
      <w:r>
        <w:t xml:space="preserve">2.3 Location District and MIDC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36 districts of Maharashtra should be available — the district decides which regional office of MPCB, DISH, and the local municipal/gram panchayat authority the application routes 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MIDC vs Non-MIDC — </w:t>
      </w:r>
      <w:r>
        <w:t xml:space="preserve">This is the single biggest branch point in the whole engine. A plot inside an MIDC industrial estate gets its building plan approved by MIDC itself; a plot outside MIDC needs the local planning authority (municipal corporation, municipal council, or gram panchayat) instead — different department, different form, different timeline.</w:t>
      </w:r>
    </w:p>
    <w:p>
      <w:pPr>
        <w:pStyle w:val="Heading2"/>
        <w:spacing w:after="100" w:before="220"/>
      </w:pPr>
      <w:r>
        <w:t xml:space="preserve">2.4 Total employees / labour band</w:t>
      </w:r>
    </w:p>
    <w:p>
      <w:pPr>
        <w:spacing w:after="120"/>
        <w:jc w:val="both"/>
      </w:pPr>
      <w:r>
        <w:t xml:space="preserve">MAITRI also filters by workforce size, because several labour-law obligations (Factories Act licensing, ESIC, PF, contract labour licensing) only kick in above certain headcounts. Recommend the same bands MAITRI uses: zero; 1 to 4; 5 to 9; 10 to 19; 20 to 49; 50 and above — with a callout that 10+ workers with power, or 20+ without power, is the Factories Act licensing threshold.</w:t>
      </w:r>
    </w:p>
    <w:p>
      <w:pPr>
        <w:pStyle w:val="Heading1"/>
        <w:spacing w:after="140" w:before="280"/>
      </w:pPr>
      <w:r>
        <w:t xml:space="preserve">3. Document Checklist</w:t>
      </w:r>
    </w:p>
    <w:p>
      <w:pPr>
        <w:spacing w:after="120"/>
        <w:jc w:val="both"/>
      </w:pPr>
      <w:r>
        <w:t xml:space="preserve">Split into documents every applicant needs regardless of sector, and documents that only apply once specific approvals are triggered.</w:t>
      </w:r>
    </w:p>
    <w:p>
      <w:pPr>
        <w:pStyle w:val="Heading2"/>
        <w:spacing w:after="100" w:before="220"/>
      </w:pPr>
      <w:r>
        <w:t xml:space="preserve">3.1 Universal documents (every application)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1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 card (company or proprietor)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 verification, auto-fill of Business Details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Certificate of incorporation / partnership deed / Udyam registration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Confirms legal entity type and MSME classification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GST registration certificate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verification, scheme eligibility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 ownership document or lease/allotment letter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Confirms site control before any construction-linked approval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 layout plan / building plan drawing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by MIDC (in-MIDC) or local planning authority (outside MIDC), and by DISH for factory building approval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report / details of manufacturing process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by MPCB for categorization and by DISH for hazard classification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Aadhaar of authorized signatory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 verification, Aadhaar-based login</w:t>
            </w:r>
          </w:p>
        </w:tc>
      </w:tr>
    </w:tbl>
    <w:p>
      <w:pPr>
        <w:pStyle w:val="Heading2"/>
        <w:spacing w:after="100" w:before="220"/>
      </w:pPr>
      <w:r>
        <w:t xml:space="preserve">3.2 Conditional documents (triggered by checklist)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FAEE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100"/>
            <w:shd w:fill="FAEE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Triggered when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MPCB Consent to Establish / Operate application + pollution control equipment details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Sector falls in Red, Orange, or Green category (see section 5) — White category units only need to self-declare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 NOC application (site plan showing fire exits, hydrant layout)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factory building plan, scaled to building height/occupancy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Factory building plan + machinery layout + safety officer details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10+ workers with power, or 20+ without power (Factories Act threshold)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Hazardous-substance inventory and safety report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Manufacturing process involves storage/handling of hazardous substances (triggers DISH's hazardous-factory track)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Electrical installation plan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unit requiring high-tension power connection or captive generation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Explosives license documents (PESO)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Sector involves manufacture, storage, or use of explosives or petroleum products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Groundwater NOC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draws groundwater for process use</w:t>
            </w:r>
          </w:p>
        </w:tc>
      </w:tr>
    </w:tbl>
    <w:p>
      <w:pPr>
        <w:pStyle w:val="Heading1"/>
        <w:spacing w:after="140" w:before="280"/>
      </w:pPr>
      <w:r>
        <w:t xml:space="preserve">4. Departments and Agencies Directory</w:t>
      </w:r>
    </w:p>
    <w:p>
      <w:pPr>
        <w:spacing w:after="120"/>
        <w:jc w:val="both"/>
      </w:pPr>
      <w:r>
        <w:t xml:space="preserve">The department set your routing/dispatch engine needs to know about, based on Maharashtra's actual single-window structure (MAITRI 2.0 currently spans 119 services across 15 departments).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Department / Agency</w:t>
            </w:r>
          </w:p>
        </w:tc>
        <w:tc>
          <w:tcPr>
            <w:tcW w:type="dxa" w:w="61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approves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MIDC (Maharashtra Industrial Development Corporation)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Plot allotment and building plan approval for units inside MIDC industrial estates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MPCB (Maharashtra Pollution Control Board)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Consent to Establish / Operate, based on Red/Orange/Green/White pollution categorization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DISH (Directorate of Industrial Safety and Health)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Factory registration and license under the Factories Act, 1948; hazardous-factory compliance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 Services Department (local Fire Brigade / Directorate)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Provisional and Final Fire NOC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Labour Department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Shops &amp; Establishment registration, contract labour licensing, ESIC/PF linkage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Electrical Inspectorate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Electrical installation approval, high-tension connections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PESO (Petroleum and Explosives Safety Organisation)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Explosives and petroleum storage/handling licenses (central body, not state, but routed through the same application)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Urban local body / Town Planning Department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 plan approval for units outside MIDC land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Groundwater Survey and Development Agency (GSDA)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NOC for groundwater extraction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Directorate of Industries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MSME registration support, incentive and subsidy disbursal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Boiler Inspectorate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Boiler installation and operation license, where applicable</w:t>
            </w:r>
          </w:p>
        </w:tc>
      </w:tr>
    </w:tbl>
    <w:p>
      <w:pPr>
        <w:pStyle w:val="Heading1"/>
        <w:spacing w:after="140" w:before="280"/>
      </w:pPr>
      <w:r>
        <w:t xml:space="preserve">5. Risk and Scrutiny Tiering</w:t>
      </w:r>
    </w:p>
    <w:p>
      <w:pPr>
        <w:spacing w:after="120"/>
        <w:jc w:val="both"/>
      </w:pPr>
      <w:r>
        <w:t xml:space="preserve">Rather than inventing a risk scoring model from scratch, base the risk-based scrutiny engine on MPCB's existing Red/Orange/Green/White pollution categorization — it's already legally recognized, already tied to real self-certification rules, and gives the checklist generator a ready-made severity signal per sector.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900"/>
      </w:tblGrid>
      <w:tr>
        <w:tc>
          <w:tcPr>
            <w:tcW w:type="dxa" w:w="18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8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9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implies for scrutiny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Pollution Index score of 60 or above (highest polluting: cement, petrochemicals, large pharma manufacturing)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manual review, mandatory site inspection, no self-certification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 pollution potential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review with site inspection; longer consent validity than Red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pollution potential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Simplified review; eligible for the auto-renewal / self-certification scheme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Pollution Index 20 or below — virtually non-polluting (IT/ITES, BPOs, education/training)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Consent to Operate needed at all — a notification is sufficient; strongest self-certification / green-channel candidate</w:t>
            </w:r>
          </w:p>
        </w:tc>
      </w:tr>
    </w:tbl>
    <w:p>
      <w:pPr>
        <w:spacing w:after="160"/>
      </w:pPr>
      <w:r>
        <w:rPr>
          <w:i/>
          <w:iCs/>
          <w:color w:val="6B6B63"/>
          <w:sz w:val="19"/>
          <w:szCs w:val="19"/>
        </w:rPr>
        <w:t xml:space="preserve">This same category should double as the input to your existing self-certification/green-channel feature and the officer priority queue — Red/Orange applications get flagged for scrutiny first; Green/White applications are the ones eligible to skip straight to self-certification.</w:t>
      </w:r>
    </w:p>
    <w:p>
      <w:pPr>
        <w:pStyle w:val="Heading1"/>
        <w:spacing w:after="140" w:before="280"/>
      </w:pPr>
      <w:r>
        <w:t xml:space="preserve">6. Sample Checklist Logic</w:t>
      </w:r>
    </w:p>
    <w:p>
      <w:pPr>
        <w:spacing w:after="120"/>
        <w:jc w:val="both"/>
      </w:pPr>
      <w:r>
        <w:t xml:space="preserve">This is the rule pattern the regulatory knowledge engine should encode — shown against the exact example already rendered in your Customised Approval Checklist screen (Engineering sector, inside MIDC, resulting in 4 required approvals).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61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in the example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Industry sector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Investment scale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/ Medium (10+ workers threshold assumed)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Inside MIDC?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MPCB category (derived from sector)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Likely Orange (general engineering/fabrication) — engine should confirm against the specific sub-process</w:t>
            </w:r>
          </w:p>
        </w:tc>
      </w:tr>
    </w:tbl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500"/>
      </w:tblGrid>
      <w:tr>
        <w:tc>
          <w:tcPr>
            <w:tcW w:type="dxa" w:w="3400"/>
            <w:shd w:fill="FAEE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Resulting approval</w:t>
            </w:r>
          </w:p>
        </w:tc>
        <w:tc>
          <w:tcPr>
            <w:tcW w:type="dxa" w:w="2200"/>
            <w:shd w:fill="FAEE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3500"/>
            <w:shd w:fill="FAEE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rule fired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Factory Building Plan Approval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MIDC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Plot is inside MIDC, so MIDC (not the local planning authority) approves the building plan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Consent to Establish (Water &amp; Air)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MPCB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 sector falls under MPCB's Orange/Red category list and needs Consent to Establish before construction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Provisional Fire NOC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 Department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new factory building triggers a fire safety review before construction begins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 under Factories Act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Labour / DISH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Workforce is assumed to cross the 10-worker-with-power threshold</w:t>
            </w:r>
          </w:p>
        </w:tc>
      </w:tr>
    </w:tbl>
    <w:p>
      <w:pPr>
        <w:spacing w:after="120"/>
        <w:jc w:val="both"/>
      </w:pPr>
      <w:r>
        <w:t xml:space="preserve">If the sector were IT/ITES instead of Engineering, the same engine should instead return zero MPCB-related approvals (White category, notification only) and mark the application Green Channel Eligible immediately — that contrast is the clearest demo of why the regulatory knowledge engine needs to be sector-aware rather than a single fixed checklist.</w:t>
      </w:r>
    </w:p>
    <w:p>
      <w:pPr>
        <w:pStyle w:val="Heading1"/>
        <w:spacing w:after="140" w:before="280"/>
      </w:pPr>
      <w:r>
        <w:t xml:space="preserve">7. Closing note</w:t>
      </w:r>
    </w:p>
    <w:p>
      <w:pPr>
        <w:spacing w:after="120"/>
        <w:jc w:val="both"/>
      </w:pPr>
      <w:r>
        <w:t xml:space="preserve">Sections 2 to 4 give the exact fields, dropdown options, and documents your three screens need. Section 5 gives the risk model to plug into the scrutiny engine and self-certification logic you already have. Section 6 shows the rule pattern in action against your own screenshot, and is the one place a developer should start when building the regulatory knowledge engine's rule table.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/>
    </w:pPr>
    <w:rPr>
      <w:b/>
      <w:bCs/>
      <w:color w:val="22222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2026-08-28T19:14:06.646Z</dcterms:created>
  <dcterms:modified xsi:type="dcterms:W3CDTF">2026-08-28T19:14:06.668Z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