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olor w:val="1F4E79"/>
          <w:sz w:val="64"/>
          <w:szCs w:val="64"/>
        </w:rPr>
        <w:t xml:space="preserve">CASEFILE AI</w:t>
      </w:r>
    </w:p>
    <w:p>
      <w:pPr>
        <w:spacing w:after="160" w:before="0"/>
        <w:jc w:val="center"/>
      </w:pPr>
      <w:r>
        <w:rPr>
          <w:rFonts w:ascii="Arial" w:cs="Arial" w:eastAsia="Arial" w:hAnsi="Arial"/>
          <w:color w:val="2E75B6"/>
          <w:sz w:val="36"/>
          <w:szCs w:val="36"/>
        </w:rPr>
        <w:t xml:space="preserve">Whistleblower Fraud Intelligence Platform</w:t>
      </w:r>
    </w:p>
    <w:p>
      <w:pPr>
        <w:pBdr>
          <w:bottom w:val="single" w:color="2E75B6" w:sz="12" w:space="4"/>
        </w:pBdr>
        <w:spacing w:after="240" w:before="0"/>
        <w:jc w:val="center"/>
      </w:pPr>
      <w:r>
        <w:t xml:space="preserve"/>
      </w:r>
    </w:p>
    <w:p>
      <w:pPr>
        <w:spacing w:after="80" w:before="240"/>
        <w:jc w:val="center"/>
      </w:pPr>
      <w:r>
        <w:rPr>
          <w:rFonts w:ascii="Arial" w:cs="Arial" w:eastAsia="Arial" w:hAnsi="Arial"/>
          <w:b/>
          <w:bCs/>
          <w:color w:val="333333"/>
          <w:sz w:val="32"/>
          <w:szCs w:val="32"/>
        </w:rPr>
        <w:t xml:space="preserve">Software Development Plan</w:t>
      </w:r>
    </w:p>
    <w:p>
      <w:pPr>
        <w:spacing w:after="80" w:before="0"/>
        <w:jc w:val="center"/>
      </w:pPr>
      <w:r>
        <w:rPr>
          <w:rFonts w:ascii="Arial" w:cs="Arial" w:eastAsia="Arial" w:hAnsi="Arial"/>
          <w:color w:val="666666"/>
          <w:sz w:val="24"/>
          <w:szCs w:val="24"/>
        </w:rPr>
        <w:t xml:space="preserve">Structured per Full SDLC — Phases 1 through 6</w:t>
      </w:r>
    </w:p>
    <w:p>
      <w:pPr>
        <w:spacing w:after="80" w:before="0"/>
        <w:jc w:val="center"/>
      </w:pPr>
      <w:r>
        <w:rPr>
          <w:rFonts w:ascii="Arial" w:cs="Arial" w:eastAsia="Arial" w:hAnsi="Arial"/>
          <w:color w:val="888888"/>
          <w:sz w:val="22"/>
          <w:szCs w:val="22"/>
        </w:rPr>
        <w:t xml:space="preserve">Version 1.0  |  April 2026</w:t>
      </w:r>
    </w:p>
    <w:p>
      <w:pPr>
        <w:spacing w:after="80" w:before="0"/>
        <w:jc w:val="center"/>
      </w:pPr>
      <w:r>
        <w:rPr>
          <w:rFonts w:ascii="Arial" w:cs="Arial" w:eastAsia="Arial" w:hAnsi="Arial"/>
          <w:color w:val="888888"/>
          <w:sz w:val="22"/>
          <w:szCs w:val="22"/>
        </w:rPr>
        <w:t xml:space="preserve">Prepared for: AI for Government Hackathon</w:t>
      </w:r>
    </w:p>
    <w:p>
      <w:pPr>
        <w:spacing w:after="400" w:before="40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Executive Summary</w:t>
      </w:r>
    </w:p>
    <w:p>
      <w:pPr>
        <w:spacing w:after="60" w:before="60"/>
      </w:pPr>
      <w:r>
        <w:rPr>
          <w:rFonts w:ascii="Arial" w:cs="Arial" w:eastAsia="Arial" w:hAnsi="Arial"/>
          <w:color w:val="1A1A2E"/>
          <w:sz w:val="22"/>
          <w:szCs w:val="22"/>
        </w:rPr>
        <w:t xml:space="preserve">CaseFile AI is a multi-agent artificial intelligence platform designed to accelerate government fraud investigations under the False Claims Act (FCA). The system transforms raw whistleblower tips, invoices, and public datasets into complaint-ready legal case files — reducing investigation timelines from months to hours.</w:t>
      </w:r>
    </w:p>
    <w:p>
      <w:pPr>
        <w:spacing w:after="80" w:before="80"/>
      </w:pPr>
      <w:r>
        <w:t xml:space="preserve"/>
      </w:r>
    </w:p>
    <w:p>
      <w:pPr>
        <w:spacing w:after="60" w:before="60"/>
      </w:pPr>
      <w:r>
        <w:rPr>
          <w:rFonts w:ascii="Arial" w:cs="Arial" w:eastAsia="Arial" w:hAnsi="Arial"/>
          <w:color w:val="1A1A2E"/>
          <w:sz w:val="22"/>
          <w:szCs w:val="22"/>
        </w:rPr>
        <w:t xml:space="preserve">This Software Development Plan (SDP) defines the full lifecycle from inception to production deployment, structured across six SDLC phases. It incorporates ethical AI principles, domain-specific model selection, risk mitigation strategies, and compliance requirements for legal and healthcare data environments.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CaseFile AI — Fraud Investigation Platform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Customers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Whistleblower law firms, State AGs, Inspectors General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Core Technology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Multi-agent LLM pipeline (SaulLM, ClinicalBERT, FinBERT)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CrewAI orchestration + LangGraph state management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Web application (React + FastAPI + PostgreSQL)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HIPAA, FCA regulatory context, ABA AI ethics guidelines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Estimated MVP 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4 weeks to pilot, 12 weeks to production v1</w:t>
            </w:r>
          </w:p>
        </w:tc>
      </w:tr>
    </w:tbl>
    <w:p>
      <w:pPr>
        <w:spacing w:after="160" w:before="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spacing w:after="0" w:before="0"/>
            </w:pPr>
            <w:r>
              <w:rPr>
                <w:rFonts w:ascii="Arial" w:cs="Arial" w:eastAsia="Arial" w:hAnsi="Arial"/>
                <w:b/>
                <w:bCs/>
                <w:color w:val="FFFFFF"/>
                <w:sz w:val="22"/>
                <w:szCs w:val="22"/>
              </w:rPr>
              <w:t xml:space="preserve">Phase 1 </w:t>
            </w:r>
            <w:r>
              <w:rPr>
                <w:rFonts w:ascii="Arial" w:cs="Arial" w:eastAsia="Arial" w:hAnsi="Arial"/>
                <w:b/>
                <w:bCs/>
                <w:color w:val="FFFFFF"/>
                <w:sz w:val="24"/>
                <w:szCs w:val="24"/>
              </w:rPr>
              <w:t xml:space="preserve"> | Planning &amp; Requirements</w:t>
            </w:r>
            <w:r>
              <w:rPr>
                <w:rFonts w:ascii="Arial" w:cs="Arial" w:eastAsia="Arial" w:hAnsi="Arial"/>
                <w:color w:val="E0E0E0"/>
                <w:sz w:val="20"/>
                <w:szCs w:val="20"/>
              </w:rPr>
              <w:t xml:space="preserve">   Duration: Weeks 1–2</w:t>
            </w:r>
          </w:p>
        </w:tc>
      </w:tr>
    </w:tbl>
    <w:p>
      <w:pPr>
        <w:spacing w:after="120" w:before="120"/>
      </w:pPr>
      <w:r>
        <w:t xml:space="preserve"/>
      </w:r>
    </w:p>
    <w:p>
      <w:pPr>
        <w:pStyle w:val="Heading2"/>
        <w:spacing w:after="100" w:before="280"/>
      </w:pPr>
      <w:r>
        <w:rPr>
          <w:rFonts w:ascii="Arial" w:cs="Arial" w:eastAsia="Arial" w:hAnsi="Arial"/>
          <w:b/>
          <w:bCs/>
          <w:color w:val="2E75B6"/>
          <w:sz w:val="26"/>
          <w:szCs w:val="26"/>
        </w:rPr>
        <w:t xml:space="preserve">1.1 Project Objectives</w:t>
      </w:r>
    </w:p>
    <w:p>
      <w:pPr>
        <w:pStyle w:val="ListParagraph"/>
        <w:numPr>
          <w:ilvl w:val="0"/>
          <w:numId w:val="2"/>
        </w:numPr>
        <w:spacing w:after="40" w:before="40"/>
      </w:pPr>
      <w:r>
        <w:rPr>
          <w:rFonts w:ascii="Arial" w:cs="Arial" w:eastAsia="Arial" w:hAnsi="Arial"/>
          <w:color w:val="1A1A2E"/>
          <w:sz w:val="22"/>
          <w:szCs w:val="22"/>
        </w:rPr>
        <w:t xml:space="preserve">Reduce FCA complaint preparation time from 6–18 months to under 48 hours</w:t>
      </w:r>
    </w:p>
    <w:p>
      <w:pPr>
        <w:pStyle w:val="ListParagraph"/>
        <w:numPr>
          <w:ilvl w:val="0"/>
          <w:numId w:val="2"/>
        </w:numPr>
        <w:spacing w:after="40" w:before="40"/>
      </w:pPr>
      <w:r>
        <w:rPr>
          <w:rFonts w:ascii="Arial" w:cs="Arial" w:eastAsia="Arial" w:hAnsi="Arial"/>
          <w:color w:val="1A1A2E"/>
          <w:sz w:val="22"/>
          <w:szCs w:val="22"/>
        </w:rPr>
        <w:t xml:space="preserve">Enable smaller whistleblower law firms to take larger, more complex cases</w:t>
      </w:r>
    </w:p>
    <w:p>
      <w:pPr>
        <w:pStyle w:val="ListParagraph"/>
        <w:numPr>
          <w:ilvl w:val="0"/>
          <w:numId w:val="2"/>
        </w:numPr>
        <w:spacing w:after="40" w:before="40"/>
      </w:pPr>
      <w:r>
        <w:rPr>
          <w:rFonts w:ascii="Arial" w:cs="Arial" w:eastAsia="Arial" w:hAnsi="Arial"/>
          <w:color w:val="1A1A2E"/>
          <w:sz w:val="22"/>
          <w:szCs w:val="22"/>
        </w:rPr>
        <w:t xml:space="preserve">Produce citation-grounded, court-defensible evidence packages</w:t>
      </w:r>
    </w:p>
    <w:p>
      <w:pPr>
        <w:pStyle w:val="ListParagraph"/>
        <w:numPr>
          <w:ilvl w:val="0"/>
          <w:numId w:val="2"/>
        </w:numPr>
        <w:spacing w:after="40" w:before="40"/>
      </w:pPr>
      <w:r>
        <w:rPr>
          <w:rFonts w:ascii="Arial" w:cs="Arial" w:eastAsia="Arial" w:hAnsi="Arial"/>
          <w:color w:val="1A1A2E"/>
          <w:sz w:val="22"/>
          <w:szCs w:val="22"/>
        </w:rPr>
        <w:t xml:space="preserve">Build a scalable SaaS platform for the whistleblower legal market</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1.2 Stakeholder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 &amp; Interest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Whistleblower law firms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Primary users — need faster case assembly, lower cost per 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 Attorneys General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Secondary users — need fraud leads and evidence packages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Inspectors General (OIG)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Tertiary — consume fraud intelligence, may license tool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Whistleblowers (relators)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Data providers — need identity protection and case status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Software engineering team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Builders — need clear specs, ethical guidelines, timelines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Legal/compliance advisor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Guardrails — ensures outputs are legally defensible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1.3 Functional Requirements</w:t>
      </w:r>
    </w:p>
    <w:p>
      <w:pPr>
        <w:pStyle w:val="Heading3"/>
        <w:spacing w:after="80" w:before="200"/>
      </w:pPr>
      <w:r>
        <w:rPr>
          <w:rFonts w:ascii="Arial" w:cs="Arial" w:eastAsia="Arial" w:hAnsi="Arial"/>
          <w:b/>
          <w:bCs/>
          <w:color w:val="404040"/>
          <w:sz w:val="24"/>
          <w:szCs w:val="24"/>
        </w:rPr>
        <w:t xml:space="preserve">Core intake</w:t>
      </w:r>
    </w:p>
    <w:p>
      <w:pPr>
        <w:pStyle w:val="ListParagraph"/>
        <w:numPr>
          <w:ilvl w:val="0"/>
          <w:numId w:val="2"/>
        </w:numPr>
        <w:spacing w:after="40" w:before="40"/>
      </w:pPr>
      <w:r>
        <w:rPr>
          <w:rFonts w:ascii="Arial" w:cs="Arial" w:eastAsia="Arial" w:hAnsi="Arial"/>
          <w:color w:val="1A1A2E"/>
          <w:sz w:val="22"/>
          <w:szCs w:val="22"/>
        </w:rPr>
        <w:t xml:space="preserve">Accept whistleblower tip as free-text, structured form, or voice-to-text</w:t>
      </w:r>
    </w:p>
    <w:p>
      <w:pPr>
        <w:pStyle w:val="ListParagraph"/>
        <w:numPr>
          <w:ilvl w:val="0"/>
          <w:numId w:val="2"/>
        </w:numPr>
        <w:spacing w:after="40" w:before="40"/>
      </w:pPr>
      <w:r>
        <w:rPr>
          <w:rFonts w:ascii="Arial" w:cs="Arial" w:eastAsia="Arial" w:hAnsi="Arial"/>
          <w:color w:val="1A1A2E"/>
          <w:sz w:val="22"/>
          <w:szCs w:val="22"/>
        </w:rPr>
        <w:t xml:space="preserve">Accept document uploads: PDF, DOCX, XLSX, EML (email), CSV</w:t>
      </w:r>
    </w:p>
    <w:p>
      <w:pPr>
        <w:pStyle w:val="ListParagraph"/>
        <w:numPr>
          <w:ilvl w:val="0"/>
          <w:numId w:val="2"/>
        </w:numPr>
        <w:spacing w:after="40" w:before="40"/>
      </w:pPr>
      <w:r>
        <w:rPr>
          <w:rFonts w:ascii="Arial" w:cs="Arial" w:eastAsia="Arial" w:hAnsi="Arial"/>
          <w:color w:val="1A1A2E"/>
          <w:sz w:val="22"/>
          <w:szCs w:val="22"/>
        </w:rPr>
        <w:t xml:space="preserve">Integrate public data sources: CMS Medicare public use files, SAM.gov, OpenCorporates API, PACER, LEIE exclusion list</w:t>
      </w:r>
    </w:p>
    <w:p>
      <w:pPr>
        <w:spacing w:after="40" w:before="40"/>
      </w:pPr>
      <w:r>
        <w:t xml:space="preserve"/>
      </w:r>
    </w:p>
    <w:p>
      <w:pPr>
        <w:pStyle w:val="Heading3"/>
        <w:spacing w:after="80" w:before="200"/>
      </w:pPr>
      <w:r>
        <w:rPr>
          <w:rFonts w:ascii="Arial" w:cs="Arial" w:eastAsia="Arial" w:hAnsi="Arial"/>
          <w:b/>
          <w:bCs/>
          <w:color w:val="404040"/>
          <w:sz w:val="24"/>
          <w:szCs w:val="24"/>
        </w:rPr>
        <w:t xml:space="preserve">Agent pipeline</w:t>
      </w:r>
    </w:p>
    <w:p>
      <w:pPr>
        <w:pStyle w:val="ListParagraph"/>
        <w:numPr>
          <w:ilvl w:val="0"/>
          <w:numId w:val="2"/>
        </w:numPr>
        <w:spacing w:after="40" w:before="40"/>
      </w:pPr>
      <w:r>
        <w:rPr>
          <w:rFonts w:ascii="Arial" w:cs="Arial" w:eastAsia="Arial" w:hAnsi="Arial"/>
          <w:color w:val="1A1A2E"/>
          <w:sz w:val="22"/>
          <w:szCs w:val="22"/>
        </w:rPr>
        <w:t xml:space="preserve">Document parser agent: extract structured facts with source citations</w:t>
      </w:r>
    </w:p>
    <w:p>
      <w:pPr>
        <w:pStyle w:val="ListParagraph"/>
        <w:numPr>
          <w:ilvl w:val="0"/>
          <w:numId w:val="2"/>
        </w:numPr>
        <w:spacing w:after="40" w:before="40"/>
      </w:pPr>
      <w:r>
        <w:rPr>
          <w:rFonts w:ascii="Arial" w:cs="Arial" w:eastAsia="Arial" w:hAnsi="Arial"/>
          <w:color w:val="1A1A2E"/>
          <w:sz w:val="22"/>
          <w:szCs w:val="22"/>
        </w:rPr>
        <w:t xml:space="preserve">Entity resolution agent: deduplicate people and organizations across documents</w:t>
      </w:r>
    </w:p>
    <w:p>
      <w:pPr>
        <w:pStyle w:val="ListParagraph"/>
        <w:numPr>
          <w:ilvl w:val="0"/>
          <w:numId w:val="2"/>
        </w:numPr>
        <w:spacing w:after="40" w:before="40"/>
      </w:pPr>
      <w:r>
        <w:rPr>
          <w:rFonts w:ascii="Arial" w:cs="Arial" w:eastAsia="Arial" w:hAnsi="Arial"/>
          <w:color w:val="1A1A2E"/>
          <w:sz w:val="22"/>
          <w:szCs w:val="22"/>
        </w:rPr>
        <w:t xml:space="preserve">Fraud pattern agent: run typology library against extracted facts</w:t>
      </w:r>
    </w:p>
    <w:p>
      <w:pPr>
        <w:pStyle w:val="ListParagraph"/>
        <w:numPr>
          <w:ilvl w:val="0"/>
          <w:numId w:val="2"/>
        </w:numPr>
        <w:spacing w:after="40" w:before="40"/>
      </w:pPr>
      <w:r>
        <w:rPr>
          <w:rFonts w:ascii="Arial" w:cs="Arial" w:eastAsia="Arial" w:hAnsi="Arial"/>
          <w:color w:val="1A1A2E"/>
          <w:sz w:val="22"/>
          <w:szCs w:val="22"/>
        </w:rPr>
        <w:t xml:space="preserve">Corporate tracer agent: build ownership graph from public registry data</w:t>
      </w:r>
    </w:p>
    <w:p>
      <w:pPr>
        <w:pStyle w:val="ListParagraph"/>
        <w:numPr>
          <w:ilvl w:val="0"/>
          <w:numId w:val="2"/>
        </w:numPr>
        <w:spacing w:after="40" w:before="40"/>
      </w:pPr>
      <w:r>
        <w:rPr>
          <w:rFonts w:ascii="Arial" w:cs="Arial" w:eastAsia="Arial" w:hAnsi="Arial"/>
          <w:color w:val="1A1A2E"/>
          <w:sz w:val="22"/>
          <w:szCs w:val="22"/>
        </w:rPr>
        <w:t xml:space="preserve">Witness credibility agent: cross-check tip narrative against documentary evidence</w:t>
      </w:r>
    </w:p>
    <w:p>
      <w:pPr>
        <w:pStyle w:val="ListParagraph"/>
        <w:numPr>
          <w:ilvl w:val="0"/>
          <w:numId w:val="2"/>
        </w:numPr>
        <w:spacing w:after="40" w:before="40"/>
      </w:pPr>
      <w:r>
        <w:rPr>
          <w:rFonts w:ascii="Arial" w:cs="Arial" w:eastAsia="Arial" w:hAnsi="Arial"/>
          <w:color w:val="1A1A2E"/>
          <w:sz w:val="22"/>
          <w:szCs w:val="22"/>
        </w:rPr>
        <w:t xml:space="preserve">Statute mapper agent: map findings to applicable federal statutes</w:t>
      </w:r>
    </w:p>
    <w:p>
      <w:pPr>
        <w:pStyle w:val="ListParagraph"/>
        <w:numPr>
          <w:ilvl w:val="0"/>
          <w:numId w:val="2"/>
        </w:numPr>
        <w:spacing w:after="40" w:before="40"/>
      </w:pPr>
      <w:r>
        <w:rPr>
          <w:rFonts w:ascii="Arial" w:cs="Arial" w:eastAsia="Arial" w:hAnsi="Arial"/>
          <w:color w:val="1A1A2E"/>
          <w:sz w:val="22"/>
          <w:szCs w:val="22"/>
        </w:rPr>
        <w:t xml:space="preserve">Similar case finder agent: surface analogous FCA precedents with settlement values</w:t>
      </w:r>
    </w:p>
    <w:p>
      <w:pPr>
        <w:pStyle w:val="ListParagraph"/>
        <w:numPr>
          <w:ilvl w:val="0"/>
          <w:numId w:val="2"/>
        </w:numPr>
        <w:spacing w:after="40" w:before="40"/>
      </w:pPr>
      <w:r>
        <w:rPr>
          <w:rFonts w:ascii="Arial" w:cs="Arial" w:eastAsia="Arial" w:hAnsi="Arial"/>
          <w:color w:val="1A1A2E"/>
          <w:sz w:val="22"/>
          <w:szCs w:val="22"/>
        </w:rPr>
        <w:t xml:space="preserve">Narrative generator agent: produce attorney brief and FCA complaint scaffold</w:t>
      </w:r>
    </w:p>
    <w:p>
      <w:pPr>
        <w:spacing w:after="40" w:before="40"/>
      </w:pPr>
      <w:r>
        <w:t xml:space="preserve"/>
      </w:r>
    </w:p>
    <w:p>
      <w:pPr>
        <w:pStyle w:val="Heading3"/>
        <w:spacing w:after="80" w:before="200"/>
      </w:pPr>
      <w:r>
        <w:rPr>
          <w:rFonts w:ascii="Arial" w:cs="Arial" w:eastAsia="Arial" w:hAnsi="Arial"/>
          <w:b/>
          <w:bCs/>
          <w:color w:val="404040"/>
          <w:sz w:val="24"/>
          <w:szCs w:val="24"/>
        </w:rPr>
        <w:t xml:space="preserve">Output artifacts</w:t>
      </w:r>
    </w:p>
    <w:p>
      <w:pPr>
        <w:pStyle w:val="ListParagraph"/>
        <w:numPr>
          <w:ilvl w:val="0"/>
          <w:numId w:val="2"/>
        </w:numPr>
        <w:spacing w:after="40" w:before="40"/>
      </w:pPr>
      <w:r>
        <w:rPr>
          <w:rFonts w:ascii="Arial" w:cs="Arial" w:eastAsia="Arial" w:hAnsi="Arial"/>
          <w:color w:val="1A1A2E"/>
          <w:sz w:val="22"/>
          <w:szCs w:val="22"/>
        </w:rPr>
        <w:t xml:space="preserve">Interactive fraud timeline with citation links</w:t>
      </w:r>
    </w:p>
    <w:p>
      <w:pPr>
        <w:pStyle w:val="ListParagraph"/>
        <w:numPr>
          <w:ilvl w:val="0"/>
          <w:numId w:val="2"/>
        </w:numPr>
        <w:spacing w:after="40" w:before="40"/>
      </w:pPr>
      <w:r>
        <w:rPr>
          <w:rFonts w:ascii="Arial" w:cs="Arial" w:eastAsia="Arial" w:hAnsi="Arial"/>
          <w:color w:val="1A1A2E"/>
          <w:sz w:val="22"/>
          <w:szCs w:val="22"/>
        </w:rPr>
        <w:t xml:space="preserve">Entity relationship graph (interactive)</w:t>
      </w:r>
    </w:p>
    <w:p>
      <w:pPr>
        <w:pStyle w:val="ListParagraph"/>
        <w:numPr>
          <w:ilvl w:val="0"/>
          <w:numId w:val="2"/>
        </w:numPr>
        <w:spacing w:after="40" w:before="40"/>
      </w:pPr>
      <w:r>
        <w:rPr>
          <w:rFonts w:ascii="Arial" w:cs="Arial" w:eastAsia="Arial" w:hAnsi="Arial"/>
          <w:color w:val="1A1A2E"/>
          <w:sz w:val="22"/>
          <w:szCs w:val="22"/>
        </w:rPr>
        <w:t xml:space="preserve">Evidence table: each claim mapped to supporting document + page reference</w:t>
      </w:r>
    </w:p>
    <w:p>
      <w:pPr>
        <w:pStyle w:val="ListParagraph"/>
        <w:numPr>
          <w:ilvl w:val="0"/>
          <w:numId w:val="2"/>
        </w:numPr>
        <w:spacing w:after="40" w:before="40"/>
      </w:pPr>
      <w:r>
        <w:rPr>
          <w:rFonts w:ascii="Arial" w:cs="Arial" w:eastAsia="Arial" w:hAnsi="Arial"/>
          <w:color w:val="1A1A2E"/>
          <w:sz w:val="22"/>
          <w:szCs w:val="22"/>
        </w:rPr>
        <w:t xml:space="preserve">Attorney brief: plain-English case summary, neutral tone, citation-locked</w:t>
      </w:r>
    </w:p>
    <w:p>
      <w:pPr>
        <w:pStyle w:val="ListParagraph"/>
        <w:numPr>
          <w:ilvl w:val="0"/>
          <w:numId w:val="2"/>
        </w:numPr>
        <w:spacing w:after="40" w:before="40"/>
      </w:pPr>
      <w:r>
        <w:rPr>
          <w:rFonts w:ascii="Arial" w:cs="Arial" w:eastAsia="Arial" w:hAnsi="Arial"/>
          <w:color w:val="1A1A2E"/>
          <w:sz w:val="22"/>
          <w:szCs w:val="22"/>
        </w:rPr>
        <w:t xml:space="preserve">FCA complaint scaffold: structured per 31 U.S.C. § 3729 complaint format</w:t>
      </w:r>
    </w:p>
    <w:p>
      <w:pPr>
        <w:pStyle w:val="ListParagraph"/>
        <w:numPr>
          <w:ilvl w:val="0"/>
          <w:numId w:val="2"/>
        </w:numPr>
        <w:spacing w:after="40" w:before="40"/>
      </w:pPr>
      <w:r>
        <w:rPr>
          <w:rFonts w:ascii="Arial" w:cs="Arial" w:eastAsia="Arial" w:hAnsi="Arial"/>
          <w:color w:val="1A1A2E"/>
          <w:sz w:val="22"/>
          <w:szCs w:val="22"/>
        </w:rPr>
        <w:t xml:space="preserve">Case value estimate: based on similar case precedents and settlement ranges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1.4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Response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casefile generation under 4 minutes for 50-document intake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End-to-end encryption at rest and in transit; whistleblower identity compartmentalized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Availability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99.5% uptime SLA for production; degraded-mode fallback for agent failures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Explainability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LLM-generated claim must be citation-grounded; no orphaned assertions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HIPAA technical safeguards for any PHI in uploaded documents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immutable log of every agent action, input hash, and output hash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Confidence gating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Orchestrator blocks memo generation if fewer than 3 HIGH-severity findings</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1.5 Ethical AI Principles (Embedded in Requirements)</w:t>
      </w:r>
    </w:p>
    <w:p>
      <w:pPr>
        <w:spacing w:after="60" w:before="60"/>
      </w:pPr>
      <w:r>
        <w:rPr>
          <w:rFonts w:ascii="Arial" w:cs="Arial" w:eastAsia="Arial" w:hAnsi="Arial"/>
          <w:color w:val="1A1A2E"/>
          <w:sz w:val="22"/>
          <w:szCs w:val="22"/>
        </w:rPr>
        <w:t xml:space="preserve">CaseFile AI operates in a high-stakes legal context. The following ethical constraints are non-negotiable requirements, not suggestions:</w:t>
      </w:r>
    </w:p>
    <w:p>
      <w:pPr>
        <w:spacing w:after="40" w:before="40"/>
      </w:pPr>
      <w:r>
        <w:t xml:space="preserve"/>
      </w:r>
    </w:p>
    <w:p>
      <w:pPr>
        <w:pStyle w:val="ListParagraph"/>
        <w:numPr>
          <w:ilvl w:val="0"/>
          <w:numId w:val="2"/>
        </w:numPr>
        <w:spacing w:after="40" w:before="40"/>
      </w:pPr>
      <w:r>
        <w:rPr>
          <w:rFonts w:ascii="Arial" w:cs="Arial" w:eastAsia="Arial" w:hAnsi="Arial"/>
          <w:color w:val="1A1A2E"/>
          <w:sz w:val="22"/>
          <w:szCs w:val="22"/>
        </w:rPr>
        <w:t xml:space="preserve">Citation-only outputs: LLM-generated text is prohibited from making claims not directly traceable to an uploaded document or verified public data source</w:t>
      </w:r>
    </w:p>
    <w:p>
      <w:pPr>
        <w:pStyle w:val="ListParagraph"/>
        <w:numPr>
          <w:ilvl w:val="0"/>
          <w:numId w:val="2"/>
        </w:numPr>
        <w:spacing w:after="40" w:before="40"/>
      </w:pPr>
      <w:r>
        <w:rPr>
          <w:rFonts w:ascii="Arial" w:cs="Arial" w:eastAsia="Arial" w:hAnsi="Arial"/>
          <w:color w:val="1A1A2E"/>
          <w:sz w:val="22"/>
          <w:szCs w:val="22"/>
        </w:rPr>
        <w:t xml:space="preserve">Human approval gate: no casefile output is delivered to an attorney without explicit human review confirmation — the system is advisory, not autonomous</w:t>
      </w:r>
    </w:p>
    <w:p>
      <w:pPr>
        <w:pStyle w:val="ListParagraph"/>
        <w:numPr>
          <w:ilvl w:val="0"/>
          <w:numId w:val="2"/>
        </w:numPr>
        <w:spacing w:after="40" w:before="40"/>
      </w:pPr>
      <w:r>
        <w:rPr>
          <w:rFonts w:ascii="Arial" w:cs="Arial" w:eastAsia="Arial" w:hAnsi="Arial"/>
          <w:color w:val="1A1A2E"/>
          <w:sz w:val="22"/>
          <w:szCs w:val="22"/>
        </w:rPr>
        <w:t xml:space="preserve">Whistleblower identity protection: tip author identity is stored in a separate compartment from the casefile and is never included in agent context without attorney authorization</w:t>
      </w:r>
    </w:p>
    <w:p>
      <w:pPr>
        <w:pStyle w:val="ListParagraph"/>
        <w:numPr>
          <w:ilvl w:val="0"/>
          <w:numId w:val="2"/>
        </w:numPr>
        <w:spacing w:after="40" w:before="40"/>
      </w:pPr>
      <w:r>
        <w:rPr>
          <w:rFonts w:ascii="Arial" w:cs="Arial" w:eastAsia="Arial" w:hAnsi="Arial"/>
          <w:color w:val="1A1A2E"/>
          <w:sz w:val="22"/>
          <w:szCs w:val="22"/>
        </w:rPr>
        <w:t xml:space="preserve">Severity floor: a confidence floor prevents low-evidence findings from entering the complaint scaffold, reducing the risk of spurious FCA filings</w:t>
      </w:r>
    </w:p>
    <w:p>
      <w:pPr>
        <w:pStyle w:val="ListParagraph"/>
        <w:numPr>
          <w:ilvl w:val="0"/>
          <w:numId w:val="2"/>
        </w:numPr>
        <w:spacing w:after="40" w:before="40"/>
      </w:pPr>
      <w:r>
        <w:rPr>
          <w:rFonts w:ascii="Arial" w:cs="Arial" w:eastAsia="Arial" w:hAnsi="Arial"/>
          <w:color w:val="1A1A2E"/>
          <w:sz w:val="22"/>
          <w:szCs w:val="22"/>
        </w:rPr>
        <w:t xml:space="preserve">Bias monitoring: fraud pattern agent outputs are audited quarterly for demographic or geographic bias in flagging rates</w:t>
      </w:r>
    </w:p>
    <w:p>
      <w:pPr>
        <w:pStyle w:val="ListParagraph"/>
        <w:numPr>
          <w:ilvl w:val="0"/>
          <w:numId w:val="2"/>
        </w:numPr>
        <w:spacing w:after="40" w:before="40"/>
      </w:pPr>
      <w:r>
        <w:rPr>
          <w:rFonts w:ascii="Arial" w:cs="Arial" w:eastAsia="Arial" w:hAnsi="Arial"/>
          <w:color w:val="1A1A2E"/>
          <w:sz w:val="22"/>
          <w:szCs w:val="22"/>
        </w:rPr>
        <w:t xml:space="preserve">No legal advice: all statute mappings and case summaries are explicitly framed as 'for attorney review' — the platform does not practice law</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75B6" w:val="clear"/>
            <w:tcMar>
              <w:top w:type="dxa" w:w="160"/>
              <w:left w:type="dxa" w:w="240"/>
              <w:bottom w:type="dxa" w:w="160"/>
              <w:right w:type="dxa" w:w="240"/>
            </w:tcMar>
          </w:tcPr>
          <w:p>
            <w:pPr>
              <w:spacing w:after="0" w:before="0"/>
            </w:pPr>
            <w:r>
              <w:rPr>
                <w:rFonts w:ascii="Arial" w:cs="Arial" w:eastAsia="Arial" w:hAnsi="Arial"/>
                <w:b/>
                <w:bCs/>
                <w:color w:val="FFFFFF"/>
                <w:sz w:val="22"/>
                <w:szCs w:val="22"/>
              </w:rPr>
              <w:t xml:space="preserve">Phase 2 </w:t>
            </w:r>
            <w:r>
              <w:rPr>
                <w:rFonts w:ascii="Arial" w:cs="Arial" w:eastAsia="Arial" w:hAnsi="Arial"/>
                <w:b/>
                <w:bCs/>
                <w:color w:val="FFFFFF"/>
                <w:sz w:val="24"/>
                <w:szCs w:val="24"/>
              </w:rPr>
              <w:t xml:space="preserve"> | System Design</w:t>
            </w:r>
            <w:r>
              <w:rPr>
                <w:rFonts w:ascii="Arial" w:cs="Arial" w:eastAsia="Arial" w:hAnsi="Arial"/>
                <w:color w:val="E0E0E0"/>
                <w:sz w:val="20"/>
                <w:szCs w:val="20"/>
              </w:rPr>
              <w:t xml:space="preserve">   Duration: Weeks 3–4</w:t>
            </w:r>
          </w:p>
        </w:tc>
      </w:tr>
    </w:tbl>
    <w:p>
      <w:pPr>
        <w:spacing w:after="120" w:before="120"/>
      </w:pPr>
      <w:r>
        <w:t xml:space="preserve"/>
      </w:r>
    </w:p>
    <w:p>
      <w:pPr>
        <w:pStyle w:val="Heading2"/>
        <w:spacing w:after="100" w:before="280"/>
      </w:pPr>
      <w:r>
        <w:rPr>
          <w:rFonts w:ascii="Arial" w:cs="Arial" w:eastAsia="Arial" w:hAnsi="Arial"/>
          <w:b/>
          <w:bCs/>
          <w:color w:val="2E75B6"/>
          <w:sz w:val="26"/>
          <w:szCs w:val="26"/>
        </w:rPr>
        <w:t xml:space="preserve">2.1 Architecture Overview</w:t>
      </w:r>
    </w:p>
    <w:p>
      <w:pPr>
        <w:spacing w:after="60" w:before="60"/>
      </w:pPr>
      <w:r>
        <w:rPr>
          <w:rFonts w:ascii="Arial" w:cs="Arial" w:eastAsia="Arial" w:hAnsi="Arial"/>
          <w:color w:val="1A1A2E"/>
          <w:sz w:val="22"/>
          <w:szCs w:val="22"/>
        </w:rPr>
        <w:t xml:space="preserve">CaseFile AI uses a three-tier web architecture with a multi-agent AI pipeline as the core processing layer. The design prioritizes agent isolation, shared state integrity, and human-in-the-loop checkpoints.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2.2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 Choices &amp; Rationale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18 + TypeScript | Tailwind CSS | React Flow (entity graph visualization)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FastAPI (Python) — async support for long-running agent tasks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Orchestration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CrewAI — role-based agent definitions; LangGraph for stateful pipelines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Legal tasks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SaulLM-54B (HuggingFace: Equall/Saul-Instruct-v1) — trained on US statutes and case law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Medical billing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ClinicalBERT (HuggingFace: medicalai/ClinicalBERT) — trained on clinical notes and billing records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Corporate/financial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FinBERT (HuggingFace: ProsusAI/finbert) — trained on SEC filings and financial 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General reasoning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Llama 3.3 70B via Groq API — low-latency backbone for orchestration and narrative generation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 parsing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Unstructured.io — multi-format ingestion (PDF, DOCX, email, Excel)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Entity resolution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spaCy NER + cosine similarity clustering for cross-document entity deduplication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Graph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Neo4j — corporate ownership graph storage and traversal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Primary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 case metadata, evidence store, user data, audit logs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AWS S3 (or MinIO for self-hosted) — uploaded documents, encrypted at rest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Task queue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Celery + Redis — async agent execution, job status tracking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Search index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Elasticsearch — full-text search across extracted facts and case files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Docker + Docker Compose | AWS ECS for production scaling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GitHub Actions — automated test, lint, build, deploy pipeline</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2.3 Multi-Agent Architecture Design</w:t>
      </w:r>
    </w:p>
    <w:p>
      <w:pPr>
        <w:spacing w:after="60" w:before="60"/>
      </w:pPr>
      <w:r>
        <w:rPr>
          <w:rFonts w:ascii="Arial" w:cs="Arial" w:eastAsia="Arial" w:hAnsi="Arial"/>
          <w:color w:val="1A1A2E"/>
          <w:sz w:val="22"/>
          <w:szCs w:val="22"/>
        </w:rPr>
        <w:t xml:space="preserve">The orchestrator follows a directed acyclic graph (DAG) execution model. All agents read from and write to a shared evidence store — they never communicate directly with each other. This design prevents hallucination cascades and creates a fully auditable reasoning chain.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Domain Model</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Document parser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Unstructured.io + vision 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uploaded files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Typed facts with source citations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Entity resolver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spaCy + embedding similarity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Raw entity mentions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Canonical entity registry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Fraud pattern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ClinicalBERT + pattern library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Canonical facts + codes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Severity-scored findings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Corporate tracer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FinBERT + OpenCorporates API</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Entity names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Ownership graph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 credibility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Llama 3.3 + SaulLM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Tip text + evidence store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Corroboration scores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Statute mapper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SaulLM-54B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Fraud findings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Applicable statutes list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Similar case finder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PACER corpus + DOJ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Fraud typology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Precedent case brief</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Narrative generator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SaulLM-54B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HIGH/MED findings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Attorney brief + complaint scaffold</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2.4 Database Schema Design</w:t>
      </w:r>
    </w:p>
    <w:p>
      <w:pPr>
        <w:spacing w:after="60" w:before="60"/>
      </w:pPr>
      <w:r>
        <w:rPr>
          <w:rFonts w:ascii="Arial" w:cs="Arial" w:eastAsia="Arial" w:hAnsi="Arial"/>
          <w:color w:val="1A1A2E"/>
          <w:sz w:val="22"/>
          <w:szCs w:val="22"/>
        </w:rPr>
        <w:t xml:space="preserve">Core entities in the PostgreSQL schema:</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cases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case_id, intake_date, status, attorney_id, confidence_floor_met, created_at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doc_id, case_id, filename, s3_key, doc_type, parsed_at, parser_version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facts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fact_id, doc_id, case_id, entity_refs[], date, amount, procedure_code, confidence, source_page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entities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entity_id, canonical_name, entity_type, variants[], flags[], exclusion_list_match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finding_id, case_id, pattern_id, severity, affected_fact_ids[], statutes[], confidence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ownership_edges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from_entity_id, to_entity_id, relationship_type, source, recorded_at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precedents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precedent_id, finding_pattern, court, outcome, settlement_amount, doj_ref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audit_log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log_id, case_id, agent_name, action, input_hash, output_hash, timestamp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users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user_id, role, firm_id, mfa_enabled, created_at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whistleblowers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wb_id, encrypted_identity, case_id — stored in separate schema with restricted access</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2.5 Security Design</w:t>
      </w:r>
    </w:p>
    <w:p>
      <w:pPr>
        <w:pStyle w:val="ListParagraph"/>
        <w:numPr>
          <w:ilvl w:val="0"/>
          <w:numId w:val="2"/>
        </w:numPr>
        <w:spacing w:after="40" w:before="40"/>
      </w:pPr>
      <w:r>
        <w:rPr>
          <w:rFonts w:ascii="Arial" w:cs="Arial" w:eastAsia="Arial" w:hAnsi="Arial"/>
          <w:color w:val="1A1A2E"/>
          <w:sz w:val="22"/>
          <w:szCs w:val="22"/>
        </w:rPr>
        <w:t xml:space="preserve">Whistleblower identity stored in a separate PostgreSQL schema with column-level encryption (pgcrypto)</w:t>
      </w:r>
    </w:p>
    <w:p>
      <w:pPr>
        <w:pStyle w:val="ListParagraph"/>
        <w:numPr>
          <w:ilvl w:val="0"/>
          <w:numId w:val="2"/>
        </w:numPr>
        <w:spacing w:after="40" w:before="40"/>
      </w:pPr>
      <w:r>
        <w:rPr>
          <w:rFonts w:ascii="Arial" w:cs="Arial" w:eastAsia="Arial" w:hAnsi="Arial"/>
          <w:color w:val="1A1A2E"/>
          <w:sz w:val="22"/>
          <w:szCs w:val="22"/>
        </w:rPr>
        <w:t xml:space="preserve">All S3 objects encrypted with AES-256; KMS key rotation every 90 days</w:t>
      </w:r>
    </w:p>
    <w:p>
      <w:pPr>
        <w:pStyle w:val="ListParagraph"/>
        <w:numPr>
          <w:ilvl w:val="0"/>
          <w:numId w:val="2"/>
        </w:numPr>
        <w:spacing w:after="40" w:before="40"/>
      </w:pPr>
      <w:r>
        <w:rPr>
          <w:rFonts w:ascii="Arial" w:cs="Arial" w:eastAsia="Arial" w:hAnsi="Arial"/>
          <w:color w:val="1A1A2E"/>
          <w:sz w:val="22"/>
          <w:szCs w:val="22"/>
        </w:rPr>
        <w:t xml:space="preserve">JWT authentication with short-lived access tokens (15 min) + refresh token rotation</w:t>
      </w:r>
    </w:p>
    <w:p>
      <w:pPr>
        <w:pStyle w:val="ListParagraph"/>
        <w:numPr>
          <w:ilvl w:val="0"/>
          <w:numId w:val="2"/>
        </w:numPr>
        <w:spacing w:after="40" w:before="40"/>
      </w:pPr>
      <w:r>
        <w:rPr>
          <w:rFonts w:ascii="Arial" w:cs="Arial" w:eastAsia="Arial" w:hAnsi="Arial"/>
          <w:color w:val="1A1A2E"/>
          <w:sz w:val="22"/>
          <w:szCs w:val="22"/>
        </w:rPr>
        <w:t xml:space="preserve">Role-based access control: relator, attorney, supervisor, admin — each with scoped permissions</w:t>
      </w:r>
    </w:p>
    <w:p>
      <w:pPr>
        <w:pStyle w:val="ListParagraph"/>
        <w:numPr>
          <w:ilvl w:val="0"/>
          <w:numId w:val="2"/>
        </w:numPr>
        <w:spacing w:after="40" w:before="40"/>
      </w:pPr>
      <w:r>
        <w:rPr>
          <w:rFonts w:ascii="Arial" w:cs="Arial" w:eastAsia="Arial" w:hAnsi="Arial"/>
          <w:color w:val="1A1A2E"/>
          <w:sz w:val="22"/>
          <w:szCs w:val="22"/>
        </w:rPr>
        <w:t xml:space="preserve">All agent inputs and outputs hashed (SHA-256) before storage — enables forensic reproducibility</w:t>
      </w:r>
    </w:p>
    <w:p>
      <w:pPr>
        <w:pStyle w:val="ListParagraph"/>
        <w:numPr>
          <w:ilvl w:val="0"/>
          <w:numId w:val="2"/>
        </w:numPr>
        <w:spacing w:after="40" w:before="40"/>
      </w:pPr>
      <w:r>
        <w:rPr>
          <w:rFonts w:ascii="Arial" w:cs="Arial" w:eastAsia="Arial" w:hAnsi="Arial"/>
          <w:color w:val="1A1A2E"/>
          <w:sz w:val="22"/>
          <w:szCs w:val="22"/>
        </w:rPr>
        <w:t xml:space="preserve">API rate limiting via Redis on all public endpoints</w:t>
      </w:r>
    </w:p>
    <w:p>
      <w:pPr>
        <w:pStyle w:val="ListParagraph"/>
        <w:numPr>
          <w:ilvl w:val="0"/>
          <w:numId w:val="2"/>
        </w:numPr>
        <w:spacing w:after="40" w:before="40"/>
      </w:pPr>
      <w:r>
        <w:rPr>
          <w:rFonts w:ascii="Arial" w:cs="Arial" w:eastAsia="Arial" w:hAnsi="Arial"/>
          <w:color w:val="1A1A2E"/>
          <w:sz w:val="22"/>
          <w:szCs w:val="22"/>
        </w:rPr>
        <w:t xml:space="preserve">HIPAA technical safeguards: audit controls, integrity controls, transmission security per 45 CFR 164.312</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5623" w:val="clear"/>
            <w:tcMar>
              <w:top w:type="dxa" w:w="160"/>
              <w:left w:type="dxa" w:w="240"/>
              <w:bottom w:type="dxa" w:w="160"/>
              <w:right w:type="dxa" w:w="240"/>
            </w:tcMar>
          </w:tcPr>
          <w:p>
            <w:pPr>
              <w:spacing w:after="0" w:before="0"/>
            </w:pPr>
            <w:r>
              <w:rPr>
                <w:rFonts w:ascii="Arial" w:cs="Arial" w:eastAsia="Arial" w:hAnsi="Arial"/>
                <w:b/>
                <w:bCs/>
                <w:color w:val="FFFFFF"/>
                <w:sz w:val="22"/>
                <w:szCs w:val="22"/>
              </w:rPr>
              <w:t xml:space="preserve">Phase 3 </w:t>
            </w:r>
            <w:r>
              <w:rPr>
                <w:rFonts w:ascii="Arial" w:cs="Arial" w:eastAsia="Arial" w:hAnsi="Arial"/>
                <w:b/>
                <w:bCs/>
                <w:color w:val="FFFFFF"/>
                <w:sz w:val="24"/>
                <w:szCs w:val="24"/>
              </w:rPr>
              <w:t xml:space="preserve"> | Development</w:t>
            </w:r>
            <w:r>
              <w:rPr>
                <w:rFonts w:ascii="Arial" w:cs="Arial" w:eastAsia="Arial" w:hAnsi="Arial"/>
                <w:color w:val="E0E0E0"/>
                <w:sz w:val="20"/>
                <w:szCs w:val="20"/>
              </w:rPr>
              <w:t xml:space="preserve">   Duration: Weeks 5–10</w:t>
            </w:r>
          </w:p>
        </w:tc>
      </w:tr>
    </w:tbl>
    <w:p>
      <w:pPr>
        <w:spacing w:after="120" w:before="120"/>
      </w:pPr>
      <w:r>
        <w:t xml:space="preserve"/>
      </w:r>
    </w:p>
    <w:p>
      <w:pPr>
        <w:pStyle w:val="Heading2"/>
        <w:spacing w:after="100" w:before="280"/>
      </w:pPr>
      <w:r>
        <w:rPr>
          <w:rFonts w:ascii="Arial" w:cs="Arial" w:eastAsia="Arial" w:hAnsi="Arial"/>
          <w:b/>
          <w:bCs/>
          <w:color w:val="2E75B6"/>
          <w:sz w:val="26"/>
          <w:szCs w:val="26"/>
        </w:rPr>
        <w:t xml:space="preserve">3.1 Development Methodology</w:t>
      </w:r>
    </w:p>
    <w:p>
      <w:pPr>
        <w:spacing w:after="60" w:before="60"/>
      </w:pPr>
      <w:r>
        <w:rPr>
          <w:rFonts w:ascii="Arial" w:cs="Arial" w:eastAsia="Arial" w:hAnsi="Arial"/>
          <w:color w:val="1A1A2E"/>
          <w:sz w:val="22"/>
          <w:szCs w:val="22"/>
        </w:rPr>
        <w:t xml:space="preserve">Two-week Agile sprints with daily standups, sprint planning, and retrospectives. GitHub Projects for backlog management. All code reviewed by at least one peer before merge. Feature flags used for all AI-powered features to enable gradual rollout.</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3.2 Sprint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Sprint</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1 (Wk 5–6)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Project scaffold, auth system, document upload + S3 storage, basic case management 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2 (Wk 6–7)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Document parser agent (Unstructured.io integration), evidence store schema, fact extraction pipeline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3 (Wk 7–8)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Entity resolver agent (spaCy + deduplication), fraud pattern agent (typology library, ClinicalBERT integration)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4 (Wk 8–9)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Corporate tracer agent (OpenCorporates + Neo4j graph), similar case finder (PACER corpus integration)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5 (Wk 9–10)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Witness credibility agent, statute mapper (SaulLM integration), narrative generator, human review gate UI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Sprint 6 (Wk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Casefile output UI (timeline, entity graph, evidence table, attorney brief PDF export), end-to-end integration testing</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3.3 Domain-Specific Model Integration</w:t>
      </w:r>
    </w:p>
    <w:p>
      <w:pPr>
        <w:spacing w:after="60" w:before="60"/>
      </w:pPr>
      <w:r>
        <w:rPr>
          <w:rFonts w:ascii="Arial" w:cs="Arial" w:eastAsia="Arial" w:hAnsi="Arial"/>
          <w:color w:val="1A1A2E"/>
          <w:sz w:val="22"/>
          <w:szCs w:val="22"/>
        </w:rPr>
        <w:t xml:space="preserve">Each agent is backed by a domain-appropriate model, not a generic LLM. This is a core architectural decision — domain models require less prompt engineering and produce fewer hallucinations on specialized content.</w:t>
      </w:r>
    </w:p>
    <w:p>
      <w:pPr>
        <w:spacing w:after="40" w:before="40"/>
      </w:pPr>
      <w:r>
        <w:t xml:space="preserve"/>
      </w:r>
    </w:p>
    <w:p>
      <w:pPr>
        <w:pStyle w:val="ListParagraph"/>
        <w:numPr>
          <w:ilvl w:val="0"/>
          <w:numId w:val="2"/>
        </w:numPr>
        <w:spacing w:after="40" w:before="40"/>
      </w:pPr>
      <w:r>
        <w:rPr>
          <w:rFonts w:ascii="Arial" w:cs="Arial" w:eastAsia="Arial" w:hAnsi="Arial"/>
          <w:color w:val="1A1A2E"/>
          <w:sz w:val="22"/>
          <w:szCs w:val="22"/>
        </w:rPr>
        <w:t xml:space="preserve">SaulLM-54B: loaded via HuggingFace Inference API for statute mapping and narrative generation tasks; prompted with system context defining its role as a legal analysis assistant</w:t>
      </w:r>
    </w:p>
    <w:p>
      <w:pPr>
        <w:pStyle w:val="ListParagraph"/>
        <w:numPr>
          <w:ilvl w:val="0"/>
          <w:numId w:val="2"/>
        </w:numPr>
        <w:spacing w:after="40" w:before="40"/>
      </w:pPr>
      <w:r>
        <w:rPr>
          <w:rFonts w:ascii="Arial" w:cs="Arial" w:eastAsia="Arial" w:hAnsi="Arial"/>
          <w:color w:val="1A1A2E"/>
          <w:sz w:val="22"/>
          <w:szCs w:val="22"/>
        </w:rPr>
        <w:t xml:space="preserve">ClinicalBERT: fine-tuned on medical billing context; used to score whether a procedure-code-to-diagnosis combination is clinically plausible — implausible combinations are flagged as potential phantom service fraud</w:t>
      </w:r>
    </w:p>
    <w:p>
      <w:pPr>
        <w:pStyle w:val="ListParagraph"/>
        <w:numPr>
          <w:ilvl w:val="0"/>
          <w:numId w:val="2"/>
        </w:numPr>
        <w:spacing w:after="40" w:before="40"/>
      </w:pPr>
      <w:r>
        <w:rPr>
          <w:rFonts w:ascii="Arial" w:cs="Arial" w:eastAsia="Arial" w:hAnsi="Arial"/>
          <w:color w:val="1A1A2E"/>
          <w:sz w:val="22"/>
          <w:szCs w:val="22"/>
        </w:rPr>
        <w:t xml:space="preserve">FinBERT: used to parse SEC EDGAR filings and state SOS documents; sentiment and entity extraction calibrated for financial/legal entity language</w:t>
      </w:r>
    </w:p>
    <w:p>
      <w:pPr>
        <w:pStyle w:val="ListParagraph"/>
        <w:numPr>
          <w:ilvl w:val="0"/>
          <w:numId w:val="2"/>
        </w:numPr>
        <w:spacing w:after="40" w:before="40"/>
      </w:pPr>
      <w:r>
        <w:rPr>
          <w:rFonts w:ascii="Arial" w:cs="Arial" w:eastAsia="Arial" w:hAnsi="Arial"/>
          <w:color w:val="1A1A2E"/>
          <w:sz w:val="22"/>
          <w:szCs w:val="22"/>
        </w:rPr>
        <w:t xml:space="preserve">Llama 3.3 70B (Groq): orchestration backbone and cross-domain reasoning; sub-500ms latency makes it suitable for orchestrator decision logic</w:t>
      </w:r>
    </w:p>
    <w:p>
      <w:pPr>
        <w:pStyle w:val="ListParagraph"/>
        <w:numPr>
          <w:ilvl w:val="0"/>
          <w:numId w:val="2"/>
        </w:numPr>
        <w:spacing w:after="40" w:before="40"/>
      </w:pPr>
      <w:r>
        <w:rPr>
          <w:rFonts w:ascii="Arial" w:cs="Arial" w:eastAsia="Arial" w:hAnsi="Arial"/>
          <w:color w:val="1A1A2E"/>
          <w:sz w:val="22"/>
          <w:szCs w:val="22"/>
        </w:rPr>
        <w:t xml:space="preserve">HHS OIG enforcement actions corpus: used as a retrieval-augmented generation (RAG) knowledge base for the similar case finder — documents chunked, embedded, and stored in a vector index (pgvector)</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3.4 Coding Standards &amp; AI Development Ethics</w:t>
      </w:r>
    </w:p>
    <w:p>
      <w:pPr>
        <w:pStyle w:val="ListParagraph"/>
        <w:numPr>
          <w:ilvl w:val="0"/>
          <w:numId w:val="2"/>
        </w:numPr>
        <w:spacing w:after="40" w:before="40"/>
      </w:pPr>
      <w:r>
        <w:rPr>
          <w:rFonts w:ascii="Arial" w:cs="Arial" w:eastAsia="Arial" w:hAnsi="Arial"/>
          <w:color w:val="1A1A2E"/>
          <w:sz w:val="22"/>
          <w:szCs w:val="22"/>
        </w:rPr>
        <w:t xml:space="preserve">All prompts stored as versioned templates in the repository — not hardcoded in application logic</w:t>
      </w:r>
    </w:p>
    <w:p>
      <w:pPr>
        <w:pStyle w:val="ListParagraph"/>
        <w:numPr>
          <w:ilvl w:val="0"/>
          <w:numId w:val="2"/>
        </w:numPr>
        <w:spacing w:after="40" w:before="40"/>
      </w:pPr>
      <w:r>
        <w:rPr>
          <w:rFonts w:ascii="Arial" w:cs="Arial" w:eastAsia="Arial" w:hAnsi="Arial"/>
          <w:color w:val="1A1A2E"/>
          <w:sz w:val="22"/>
          <w:szCs w:val="22"/>
        </w:rPr>
        <w:t xml:space="preserve">No PII from case files is sent to external commercial LLM APIs without explicit data processing agreements; self-hosted models used for sensitive document processing</w:t>
      </w:r>
    </w:p>
    <w:p>
      <w:pPr>
        <w:pStyle w:val="ListParagraph"/>
        <w:numPr>
          <w:ilvl w:val="0"/>
          <w:numId w:val="2"/>
        </w:numPr>
        <w:spacing w:after="40" w:before="40"/>
      </w:pPr>
      <w:r>
        <w:rPr>
          <w:rFonts w:ascii="Arial" w:cs="Arial" w:eastAsia="Arial" w:hAnsi="Arial"/>
          <w:color w:val="1A1A2E"/>
          <w:sz w:val="22"/>
          <w:szCs w:val="22"/>
        </w:rPr>
        <w:t xml:space="preserve">LLM outputs are always post-processed by a citation validator before storage — any assertion without a source reference is rejected by the pipeline, not surfaced to the user</w:t>
      </w:r>
    </w:p>
    <w:p>
      <w:pPr>
        <w:pStyle w:val="ListParagraph"/>
        <w:numPr>
          <w:ilvl w:val="0"/>
          <w:numId w:val="2"/>
        </w:numPr>
        <w:spacing w:after="40" w:before="40"/>
      </w:pPr>
      <w:r>
        <w:rPr>
          <w:rFonts w:ascii="Arial" w:cs="Arial" w:eastAsia="Arial" w:hAnsi="Arial"/>
          <w:color w:val="1A1A2E"/>
          <w:sz w:val="22"/>
          <w:szCs w:val="22"/>
        </w:rPr>
        <w:t xml:space="preserve">Agent outputs include a provenance field: which model version, which prompt version, and which input documents contributed to each finding</w:t>
      </w:r>
    </w:p>
    <w:p>
      <w:pPr>
        <w:pStyle w:val="ListParagraph"/>
        <w:numPr>
          <w:ilvl w:val="0"/>
          <w:numId w:val="2"/>
        </w:numPr>
        <w:spacing w:after="40" w:before="40"/>
      </w:pPr>
      <w:r>
        <w:rPr>
          <w:rFonts w:ascii="Arial" w:cs="Arial" w:eastAsia="Arial" w:hAnsi="Arial"/>
          <w:color w:val="1A1A2E"/>
          <w:sz w:val="22"/>
          <w:szCs w:val="22"/>
        </w:rPr>
        <w:t xml:space="preserve">Dependency lock files committed for reproducible builds; no unpinned LLM model versions in production</w:t>
      </w:r>
    </w:p>
    <w:p>
      <w:pPr>
        <w:pStyle w:val="ListParagraph"/>
        <w:numPr>
          <w:ilvl w:val="0"/>
          <w:numId w:val="2"/>
        </w:numPr>
        <w:spacing w:after="40" w:before="40"/>
      </w:pPr>
      <w:r>
        <w:rPr>
          <w:rFonts w:ascii="Arial" w:cs="Arial" w:eastAsia="Arial" w:hAnsi="Arial"/>
          <w:color w:val="1A1A2E"/>
          <w:sz w:val="22"/>
          <w:szCs w:val="22"/>
        </w:rPr>
        <w:t xml:space="preserve">Code review checklist includes: does this change affect agent output quality? Has the prompt been regression-tested?</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030A0" w:val="clear"/>
            <w:tcMar>
              <w:top w:type="dxa" w:w="160"/>
              <w:left w:type="dxa" w:w="240"/>
              <w:bottom w:type="dxa" w:w="160"/>
              <w:right w:type="dxa" w:w="240"/>
            </w:tcMar>
          </w:tcPr>
          <w:p>
            <w:pPr>
              <w:spacing w:after="0" w:before="0"/>
            </w:pPr>
            <w:r>
              <w:rPr>
                <w:rFonts w:ascii="Arial" w:cs="Arial" w:eastAsia="Arial" w:hAnsi="Arial"/>
                <w:b/>
                <w:bCs/>
                <w:color w:val="FFFFFF"/>
                <w:sz w:val="22"/>
                <w:szCs w:val="22"/>
              </w:rPr>
              <w:t xml:space="preserve">Phase 4 </w:t>
            </w:r>
            <w:r>
              <w:rPr>
                <w:rFonts w:ascii="Arial" w:cs="Arial" w:eastAsia="Arial" w:hAnsi="Arial"/>
                <w:b/>
                <w:bCs/>
                <w:color w:val="FFFFFF"/>
                <w:sz w:val="24"/>
                <w:szCs w:val="24"/>
              </w:rPr>
              <w:t xml:space="preserve"> | Testing &amp; Quality Assurance</w:t>
            </w:r>
            <w:r>
              <w:rPr>
                <w:rFonts w:ascii="Arial" w:cs="Arial" w:eastAsia="Arial" w:hAnsi="Arial"/>
                <w:color w:val="E0E0E0"/>
                <w:sz w:val="20"/>
                <w:szCs w:val="20"/>
              </w:rPr>
              <w:t xml:space="preserve">   Duration: Weeks 9–11</w:t>
            </w:r>
          </w:p>
        </w:tc>
      </w:tr>
    </w:tbl>
    <w:p>
      <w:pPr>
        <w:spacing w:after="120" w:before="120"/>
      </w:pPr>
      <w:r>
        <w:t xml:space="preserve"/>
      </w:r>
    </w:p>
    <w:p>
      <w:pPr>
        <w:pStyle w:val="Heading2"/>
        <w:spacing w:after="100" w:before="280"/>
      </w:pPr>
      <w:r>
        <w:rPr>
          <w:rFonts w:ascii="Arial" w:cs="Arial" w:eastAsia="Arial" w:hAnsi="Arial"/>
          <w:b/>
          <w:bCs/>
          <w:color w:val="2E75B6"/>
          <w:sz w:val="26"/>
          <w:szCs w:val="26"/>
        </w:rPr>
        <w:t xml:space="preserve">4.1 Testing Strategy</w:t>
      </w:r>
    </w:p>
    <w:p>
      <w:pPr>
        <w:spacing w:after="60" w:before="60"/>
      </w:pPr>
      <w:r>
        <w:rPr>
          <w:rFonts w:ascii="Arial" w:cs="Arial" w:eastAsia="Arial" w:hAnsi="Arial"/>
          <w:color w:val="1A1A2E"/>
          <w:sz w:val="22"/>
          <w:szCs w:val="22"/>
        </w:rPr>
        <w:t xml:space="preserve">Testing covers four layers: unit, integration, AI-specific quality tests, and legal defensibility review. AI features require a dedicated evaluation framework beyond standard QA.</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4.2 Test Types &amp; Coverage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 &amp; Target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business logic, data models, and utility functions — 85% line coverage minimum (pytest)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Integration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Agent-to-evidence-store handoffs, API endpoint contracts, database CRUD operations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End-to-end tests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casefile generation from tip input to attorney brief output — using synthetic case fixtures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LLM evaluation (evals)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Hallucination rate: target &lt;2% unsupported claims in narrative output; measured against ground-truth annotated test cases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Citation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100% of HIGH/MEDIUM findings must have a valid source citation pointing to an uploaded document page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Fraud pattern recall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Pattern agent must detect all 10 known Medicare fraud typologies in the synthetic test dataset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Security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OWASP Top 10 penetration test; dependency vulnerability scan (Dependabot); secrets scan on all commits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Performance testing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50-document intake must complete full pipeline in under 4 minutes under simulated concurrent load (Locust)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Sample casefiles reviewed by a licensed FCA attorney for legal defensibility before launch</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4.3 LLM-Specific Quality Gates</w:t>
      </w:r>
    </w:p>
    <w:p>
      <w:pPr>
        <w:spacing w:after="60" w:before="60"/>
      </w:pPr>
      <w:r>
        <w:rPr>
          <w:rFonts w:ascii="Arial" w:cs="Arial" w:eastAsia="Arial" w:hAnsi="Arial"/>
          <w:color w:val="1A1A2E"/>
          <w:sz w:val="22"/>
          <w:szCs w:val="22"/>
        </w:rPr>
        <w:t xml:space="preserve">Standard QA metrics do not capture AI output quality. The following gates must pass before any agent is promoted to production:</w:t>
      </w:r>
    </w:p>
    <w:p>
      <w:pPr>
        <w:spacing w:after="40" w:before="40"/>
      </w:pPr>
      <w:r>
        <w:t xml:space="preserve"/>
      </w:r>
    </w:p>
    <w:p>
      <w:pPr>
        <w:pStyle w:val="ListParagraph"/>
        <w:numPr>
          <w:ilvl w:val="0"/>
          <w:numId w:val="2"/>
        </w:numPr>
        <w:spacing w:after="40" w:before="40"/>
      </w:pPr>
      <w:r>
        <w:rPr>
          <w:rFonts w:ascii="Arial" w:cs="Arial" w:eastAsia="Arial" w:hAnsi="Arial"/>
          <w:color w:val="1A1A2E"/>
          <w:sz w:val="22"/>
          <w:szCs w:val="22"/>
        </w:rPr>
        <w:t xml:space="preserve">Hallucination rate below 2%: tested by running the narrative generator on 50 synthetic cases with known ground truth, then manually verifying each claim against source documents</w:t>
      </w:r>
    </w:p>
    <w:p>
      <w:pPr>
        <w:pStyle w:val="ListParagraph"/>
        <w:numPr>
          <w:ilvl w:val="0"/>
          <w:numId w:val="2"/>
        </w:numPr>
        <w:spacing w:after="40" w:before="40"/>
      </w:pPr>
      <w:r>
        <w:rPr>
          <w:rFonts w:ascii="Arial" w:cs="Arial" w:eastAsia="Arial" w:hAnsi="Arial"/>
          <w:color w:val="1A1A2E"/>
          <w:sz w:val="22"/>
          <w:szCs w:val="22"/>
        </w:rPr>
        <w:t xml:space="preserve">Statute mapping accuracy above 90%: tested against a curated set of 30 historical FCA cases with known applicable statutes, reviewed by a legal advisor</w:t>
      </w:r>
    </w:p>
    <w:p>
      <w:pPr>
        <w:pStyle w:val="ListParagraph"/>
        <w:numPr>
          <w:ilvl w:val="0"/>
          <w:numId w:val="2"/>
        </w:numPr>
        <w:spacing w:after="40" w:before="40"/>
      </w:pPr>
      <w:r>
        <w:rPr>
          <w:rFonts w:ascii="Arial" w:cs="Arial" w:eastAsia="Arial" w:hAnsi="Arial"/>
          <w:color w:val="1A1A2E"/>
          <w:sz w:val="22"/>
          <w:szCs w:val="22"/>
        </w:rPr>
        <w:t xml:space="preserve">Entity resolution precision above 95%: tested using documents with known entity variants (e.g., same person listed 5 different ways across 10 documents)</w:t>
      </w:r>
    </w:p>
    <w:p>
      <w:pPr>
        <w:pStyle w:val="ListParagraph"/>
        <w:numPr>
          <w:ilvl w:val="0"/>
          <w:numId w:val="2"/>
        </w:numPr>
        <w:spacing w:after="40" w:before="40"/>
      </w:pPr>
      <w:r>
        <w:rPr>
          <w:rFonts w:ascii="Arial" w:cs="Arial" w:eastAsia="Arial" w:hAnsi="Arial"/>
          <w:color w:val="1A1A2E"/>
          <w:sz w:val="22"/>
          <w:szCs w:val="22"/>
        </w:rPr>
        <w:t xml:space="preserve">Severity score calibration: fraud pattern agent severity scores cross-validated against actual DOJ settlement amounts — HIGH findings should correlate with cases that resulted in settlement</w:t>
      </w:r>
    </w:p>
    <w:p>
      <w:pPr>
        <w:pStyle w:val="ListParagraph"/>
        <w:numPr>
          <w:ilvl w:val="0"/>
          <w:numId w:val="2"/>
        </w:numPr>
        <w:spacing w:after="40" w:before="40"/>
      </w:pPr>
      <w:r>
        <w:rPr>
          <w:rFonts w:ascii="Arial" w:cs="Arial" w:eastAsia="Arial" w:hAnsi="Arial"/>
          <w:color w:val="1A1A2E"/>
          <w:sz w:val="22"/>
          <w:szCs w:val="22"/>
        </w:rPr>
        <w:t xml:space="preserve">Bias audit: pattern agent flagging rates analyzed by provider specialty, geography, and practice size to detect systematic bias before production launch</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55A11" w:val="clear"/>
            <w:tcMar>
              <w:top w:type="dxa" w:w="160"/>
              <w:left w:type="dxa" w:w="240"/>
              <w:bottom w:type="dxa" w:w="160"/>
              <w:right w:type="dxa" w:w="240"/>
            </w:tcMar>
          </w:tcPr>
          <w:p>
            <w:pPr>
              <w:spacing w:after="0" w:before="0"/>
            </w:pPr>
            <w:r>
              <w:rPr>
                <w:rFonts w:ascii="Arial" w:cs="Arial" w:eastAsia="Arial" w:hAnsi="Arial"/>
                <w:b/>
                <w:bCs/>
                <w:color w:val="FFFFFF"/>
                <w:sz w:val="22"/>
                <w:szCs w:val="22"/>
              </w:rPr>
              <w:t xml:space="preserve">Phase 5 </w:t>
            </w:r>
            <w:r>
              <w:rPr>
                <w:rFonts w:ascii="Arial" w:cs="Arial" w:eastAsia="Arial" w:hAnsi="Arial"/>
                <w:b/>
                <w:bCs/>
                <w:color w:val="FFFFFF"/>
                <w:sz w:val="24"/>
                <w:szCs w:val="24"/>
              </w:rPr>
              <w:t xml:space="preserve"> | Deployment</w:t>
            </w:r>
            <w:r>
              <w:rPr>
                <w:rFonts w:ascii="Arial" w:cs="Arial" w:eastAsia="Arial" w:hAnsi="Arial"/>
                <w:color w:val="E0E0E0"/>
                <w:sz w:val="20"/>
                <w:szCs w:val="20"/>
              </w:rPr>
              <w:t xml:space="preserve">   Duration: Week 12</w:t>
            </w:r>
          </w:p>
        </w:tc>
      </w:tr>
    </w:tbl>
    <w:p>
      <w:pPr>
        <w:spacing w:after="120" w:before="120"/>
      </w:pPr>
      <w:r>
        <w:t xml:space="preserve"/>
      </w:r>
    </w:p>
    <w:p>
      <w:pPr>
        <w:pStyle w:val="Heading2"/>
        <w:spacing w:after="100" w:before="280"/>
      </w:pPr>
      <w:r>
        <w:rPr>
          <w:rFonts w:ascii="Arial" w:cs="Arial" w:eastAsia="Arial" w:hAnsi="Arial"/>
          <w:b/>
          <w:bCs/>
          <w:color w:val="2E75B6"/>
          <w:sz w:val="26"/>
          <w:szCs w:val="26"/>
        </w:rPr>
        <w:t xml:space="preserve">5.1 Deployment Architecture</w:t>
      </w:r>
    </w:p>
    <w:p>
      <w:pPr>
        <w:pStyle w:val="ListParagraph"/>
        <w:numPr>
          <w:ilvl w:val="0"/>
          <w:numId w:val="2"/>
        </w:numPr>
        <w:spacing w:after="40" w:before="40"/>
      </w:pPr>
      <w:r>
        <w:rPr>
          <w:rFonts w:ascii="Arial" w:cs="Arial" w:eastAsia="Arial" w:hAnsi="Arial"/>
          <w:color w:val="1A1A2E"/>
          <w:sz w:val="22"/>
          <w:szCs w:val="22"/>
        </w:rPr>
        <w:t xml:space="preserve">Containerized with Docker; orchestrated with AWS ECS (Fargate) for serverless scaling</w:t>
      </w:r>
    </w:p>
    <w:p>
      <w:pPr>
        <w:pStyle w:val="ListParagraph"/>
        <w:numPr>
          <w:ilvl w:val="0"/>
          <w:numId w:val="2"/>
        </w:numPr>
        <w:spacing w:after="40" w:before="40"/>
      </w:pPr>
      <w:r>
        <w:rPr>
          <w:rFonts w:ascii="Arial" w:cs="Arial" w:eastAsia="Arial" w:hAnsi="Arial"/>
          <w:color w:val="1A1A2E"/>
          <w:sz w:val="22"/>
          <w:szCs w:val="22"/>
        </w:rPr>
        <w:t xml:space="preserve">Frontend: deployed to AWS S3 + CloudFront CDN for global low-latency delivery</w:t>
      </w:r>
    </w:p>
    <w:p>
      <w:pPr>
        <w:pStyle w:val="ListParagraph"/>
        <w:numPr>
          <w:ilvl w:val="0"/>
          <w:numId w:val="2"/>
        </w:numPr>
        <w:spacing w:after="40" w:before="40"/>
      </w:pPr>
      <w:r>
        <w:rPr>
          <w:rFonts w:ascii="Arial" w:cs="Arial" w:eastAsia="Arial" w:hAnsi="Arial"/>
          <w:color w:val="1A1A2E"/>
          <w:sz w:val="22"/>
          <w:szCs w:val="22"/>
        </w:rPr>
        <w:t xml:space="preserve">Backend: FastAPI in ECS containers behind an Application Load Balancer</w:t>
      </w:r>
    </w:p>
    <w:p>
      <w:pPr>
        <w:pStyle w:val="ListParagraph"/>
        <w:numPr>
          <w:ilvl w:val="0"/>
          <w:numId w:val="2"/>
        </w:numPr>
        <w:spacing w:after="40" w:before="40"/>
      </w:pPr>
      <w:r>
        <w:rPr>
          <w:rFonts w:ascii="Arial" w:cs="Arial" w:eastAsia="Arial" w:hAnsi="Arial"/>
          <w:color w:val="1A1A2E"/>
          <w:sz w:val="22"/>
          <w:szCs w:val="22"/>
        </w:rPr>
        <w:t xml:space="preserve">Agent workers: Celery workers in separate ECS task definitions — scale independently from the API</w:t>
      </w:r>
    </w:p>
    <w:p>
      <w:pPr>
        <w:pStyle w:val="ListParagraph"/>
        <w:numPr>
          <w:ilvl w:val="0"/>
          <w:numId w:val="2"/>
        </w:numPr>
        <w:spacing w:after="40" w:before="40"/>
      </w:pPr>
      <w:r>
        <w:rPr>
          <w:rFonts w:ascii="Arial" w:cs="Arial" w:eastAsia="Arial" w:hAnsi="Arial"/>
          <w:color w:val="1A1A2E"/>
          <w:sz w:val="22"/>
          <w:szCs w:val="22"/>
        </w:rPr>
        <w:t xml:space="preserve">Database: AWS RDS PostgreSQL (Multi-AZ for high availability); Neo4j on EC2 with daily snapshots</w:t>
      </w:r>
    </w:p>
    <w:p>
      <w:pPr>
        <w:pStyle w:val="ListParagraph"/>
        <w:numPr>
          <w:ilvl w:val="0"/>
          <w:numId w:val="2"/>
        </w:numPr>
        <w:spacing w:after="40" w:before="40"/>
      </w:pPr>
      <w:r>
        <w:rPr>
          <w:rFonts w:ascii="Arial" w:cs="Arial" w:eastAsia="Arial" w:hAnsi="Arial"/>
          <w:color w:val="1A1A2E"/>
          <w:sz w:val="22"/>
          <w:szCs w:val="22"/>
        </w:rPr>
        <w:t xml:space="preserve">Self-hosted LLM models: deployed on GPU instances (AWS g5.xlarge) for models that cannot use external APIs due to data sensitivity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5.2 Deployment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Lint (ruff, ESLint), unit tests, secrets scan — must pass before merge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Pull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Integration tests, dependency vulnerability scan, peer code review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Staging deploy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Auto-deploy to staging on merge to main; smoke tests run automatically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gate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Manual approval from tech lead + QA sign-off required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Production deploy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Blue-green deployment — zero-downtime switch; automatic rollback if health checks fail within 5 min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Post-deploy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Synthetic transaction monitoring; alert on p95 latency &gt; 30s or error rate &gt; 1%</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5.3 Launch Checklist</w:t>
      </w:r>
    </w:p>
    <w:p>
      <w:pPr>
        <w:pStyle w:val="ListParagraph"/>
        <w:numPr>
          <w:ilvl w:val="0"/>
          <w:numId w:val="3"/>
        </w:numPr>
        <w:spacing w:after="40" w:before="40"/>
      </w:pPr>
      <w:r>
        <w:rPr>
          <w:rFonts w:ascii="Arial" w:cs="Arial" w:eastAsia="Arial" w:hAnsi="Arial"/>
          <w:color w:val="1A1A2E"/>
          <w:sz w:val="22"/>
          <w:szCs w:val="22"/>
        </w:rPr>
        <w:t xml:space="preserve">Legal review completed by licensed FCA attorney on 5 sample casefiles</w:t>
      </w:r>
    </w:p>
    <w:p>
      <w:pPr>
        <w:pStyle w:val="ListParagraph"/>
        <w:numPr>
          <w:ilvl w:val="0"/>
          <w:numId w:val="3"/>
        </w:numPr>
        <w:spacing w:after="40" w:before="40"/>
      </w:pPr>
      <w:r>
        <w:rPr>
          <w:rFonts w:ascii="Arial" w:cs="Arial" w:eastAsia="Arial" w:hAnsi="Arial"/>
          <w:color w:val="1A1A2E"/>
          <w:sz w:val="22"/>
          <w:szCs w:val="22"/>
        </w:rPr>
        <w:t xml:space="preserve">HIPAA compliance review and Business Associate Agreements in place with all cloud vendors</w:t>
      </w:r>
    </w:p>
    <w:p>
      <w:pPr>
        <w:pStyle w:val="ListParagraph"/>
        <w:numPr>
          <w:ilvl w:val="0"/>
          <w:numId w:val="3"/>
        </w:numPr>
        <w:spacing w:after="40" w:before="40"/>
      </w:pPr>
      <w:r>
        <w:rPr>
          <w:rFonts w:ascii="Arial" w:cs="Arial" w:eastAsia="Arial" w:hAnsi="Arial"/>
          <w:color w:val="1A1A2E"/>
          <w:sz w:val="22"/>
          <w:szCs w:val="22"/>
        </w:rPr>
        <w:t xml:space="preserve">Penetration test completed and all HIGH/CRITICAL findings remediated</w:t>
      </w:r>
    </w:p>
    <w:p>
      <w:pPr>
        <w:pStyle w:val="ListParagraph"/>
        <w:numPr>
          <w:ilvl w:val="0"/>
          <w:numId w:val="3"/>
        </w:numPr>
        <w:spacing w:after="40" w:before="40"/>
      </w:pPr>
      <w:r>
        <w:rPr>
          <w:rFonts w:ascii="Arial" w:cs="Arial" w:eastAsia="Arial" w:hAnsi="Arial"/>
          <w:color w:val="1A1A2E"/>
          <w:sz w:val="22"/>
          <w:szCs w:val="22"/>
        </w:rPr>
        <w:t xml:space="preserve">Whistleblower identity compartmentalization verified by security team</w:t>
      </w:r>
    </w:p>
    <w:p>
      <w:pPr>
        <w:pStyle w:val="ListParagraph"/>
        <w:numPr>
          <w:ilvl w:val="0"/>
          <w:numId w:val="3"/>
        </w:numPr>
        <w:spacing w:after="40" w:before="40"/>
      </w:pPr>
      <w:r>
        <w:rPr>
          <w:rFonts w:ascii="Arial" w:cs="Arial" w:eastAsia="Arial" w:hAnsi="Arial"/>
          <w:color w:val="1A1A2E"/>
          <w:sz w:val="22"/>
          <w:szCs w:val="22"/>
        </w:rPr>
        <w:t xml:space="preserve">Bias audit completed — no systematic demographic bias detected in pattern agent outputs</w:t>
      </w:r>
    </w:p>
    <w:p>
      <w:pPr>
        <w:pStyle w:val="ListParagraph"/>
        <w:numPr>
          <w:ilvl w:val="0"/>
          <w:numId w:val="3"/>
        </w:numPr>
        <w:spacing w:after="40" w:before="40"/>
      </w:pPr>
      <w:r>
        <w:rPr>
          <w:rFonts w:ascii="Arial" w:cs="Arial" w:eastAsia="Arial" w:hAnsi="Arial"/>
          <w:color w:val="1A1A2E"/>
          <w:sz w:val="22"/>
          <w:szCs w:val="22"/>
        </w:rPr>
        <w:t xml:space="preserve">Runbook documented for all common incident scenarios</w:t>
      </w:r>
    </w:p>
    <w:p>
      <w:pPr>
        <w:pStyle w:val="ListParagraph"/>
        <w:numPr>
          <w:ilvl w:val="0"/>
          <w:numId w:val="3"/>
        </w:numPr>
        <w:spacing w:after="40" w:before="40"/>
      </w:pPr>
      <w:r>
        <w:rPr>
          <w:rFonts w:ascii="Arial" w:cs="Arial" w:eastAsia="Arial" w:hAnsi="Arial"/>
          <w:color w:val="1A1A2E"/>
          <w:sz w:val="22"/>
          <w:szCs w:val="22"/>
        </w:rPr>
        <w:t xml:space="preserve">On-call rotation established with escalation procedures</w:t>
      </w:r>
    </w:p>
    <w:p>
      <w:pPr>
        <w:pStyle w:val="ListParagraph"/>
        <w:numPr>
          <w:ilvl w:val="0"/>
          <w:numId w:val="3"/>
        </w:numPr>
        <w:spacing w:after="40" w:before="40"/>
      </w:pPr>
      <w:r>
        <w:rPr>
          <w:rFonts w:ascii="Arial" w:cs="Arial" w:eastAsia="Arial" w:hAnsi="Arial"/>
          <w:color w:val="1A1A2E"/>
          <w:sz w:val="22"/>
          <w:szCs w:val="22"/>
        </w:rPr>
        <w:t xml:space="preserve">Data retention and deletion policy implemented per legal requirements</w:t>
      </w:r>
    </w:p>
    <w:p>
      <w:pPr>
        <w:spacing w:after="120" w:before="12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04040" w:val="clear"/>
            <w:tcMar>
              <w:top w:type="dxa" w:w="160"/>
              <w:left w:type="dxa" w:w="240"/>
              <w:bottom w:type="dxa" w:w="160"/>
              <w:right w:type="dxa" w:w="240"/>
            </w:tcMar>
          </w:tcPr>
          <w:p>
            <w:pPr>
              <w:spacing w:after="0" w:before="0"/>
            </w:pPr>
            <w:r>
              <w:rPr>
                <w:rFonts w:ascii="Arial" w:cs="Arial" w:eastAsia="Arial" w:hAnsi="Arial"/>
                <w:b/>
                <w:bCs/>
                <w:color w:val="FFFFFF"/>
                <w:sz w:val="22"/>
                <w:szCs w:val="22"/>
              </w:rPr>
              <w:t xml:space="preserve">Phase 6 </w:t>
            </w:r>
            <w:r>
              <w:rPr>
                <w:rFonts w:ascii="Arial" w:cs="Arial" w:eastAsia="Arial" w:hAnsi="Arial"/>
                <w:b/>
                <w:bCs/>
                <w:color w:val="FFFFFF"/>
                <w:sz w:val="24"/>
                <w:szCs w:val="24"/>
              </w:rPr>
              <w:t xml:space="preserve"> | Maintenance &amp; Continuous Improvement</w:t>
            </w:r>
            <w:r>
              <w:rPr>
                <w:rFonts w:ascii="Arial" w:cs="Arial" w:eastAsia="Arial" w:hAnsi="Arial"/>
                <w:color w:val="E0E0E0"/>
                <w:sz w:val="20"/>
                <w:szCs w:val="20"/>
              </w:rPr>
              <w:t xml:space="preserve">   Duration: Ongoing</w:t>
            </w:r>
          </w:p>
        </w:tc>
      </w:tr>
    </w:tbl>
    <w:p>
      <w:pPr>
        <w:spacing w:after="120" w:before="120"/>
      </w:pPr>
      <w:r>
        <w:t xml:space="preserve"/>
      </w:r>
    </w:p>
    <w:p>
      <w:pPr>
        <w:pStyle w:val="Heading2"/>
        <w:spacing w:after="100" w:before="280"/>
      </w:pPr>
      <w:r>
        <w:rPr>
          <w:rFonts w:ascii="Arial" w:cs="Arial" w:eastAsia="Arial" w:hAnsi="Arial"/>
          <w:b/>
          <w:bCs/>
          <w:color w:val="2E75B6"/>
          <w:sz w:val="26"/>
          <w:szCs w:val="26"/>
        </w:rPr>
        <w:t xml:space="preserve">6.1 Monitoring &amp; Observability</w:t>
      </w:r>
    </w:p>
    <w:p>
      <w:pPr>
        <w:pStyle w:val="ListParagraph"/>
        <w:numPr>
          <w:ilvl w:val="0"/>
          <w:numId w:val="2"/>
        </w:numPr>
        <w:spacing w:after="40" w:before="40"/>
      </w:pPr>
      <w:r>
        <w:rPr>
          <w:rFonts w:ascii="Arial" w:cs="Arial" w:eastAsia="Arial" w:hAnsi="Arial"/>
          <w:color w:val="1A1A2E"/>
          <w:sz w:val="22"/>
          <w:szCs w:val="22"/>
        </w:rPr>
        <w:t xml:space="preserve">Application performance monitoring: AWS CloudWatch + Datadog for latency, error rate, and throughput</w:t>
      </w:r>
    </w:p>
    <w:p>
      <w:pPr>
        <w:pStyle w:val="ListParagraph"/>
        <w:numPr>
          <w:ilvl w:val="0"/>
          <w:numId w:val="2"/>
        </w:numPr>
        <w:spacing w:after="40" w:before="40"/>
      </w:pPr>
      <w:r>
        <w:rPr>
          <w:rFonts w:ascii="Arial" w:cs="Arial" w:eastAsia="Arial" w:hAnsi="Arial"/>
          <w:color w:val="1A1A2E"/>
          <w:sz w:val="22"/>
          <w:szCs w:val="22"/>
        </w:rPr>
        <w:t xml:space="preserve">LLM quality monitoring: hallucination rate and citation accuracy tracked per agent, per model version — alerted if rate drifts above threshold</w:t>
      </w:r>
    </w:p>
    <w:p>
      <w:pPr>
        <w:pStyle w:val="ListParagraph"/>
        <w:numPr>
          <w:ilvl w:val="0"/>
          <w:numId w:val="2"/>
        </w:numPr>
        <w:spacing w:after="40" w:before="40"/>
      </w:pPr>
      <w:r>
        <w:rPr>
          <w:rFonts w:ascii="Arial" w:cs="Arial" w:eastAsia="Arial" w:hAnsi="Arial"/>
          <w:color w:val="1A1A2E"/>
          <w:sz w:val="22"/>
          <w:szCs w:val="22"/>
        </w:rPr>
        <w:t xml:space="preserve">Fraud pattern library: reviewed quarterly by a healthcare compliance expert — new typologies added as enforcement trends shift</w:t>
      </w:r>
    </w:p>
    <w:p>
      <w:pPr>
        <w:pStyle w:val="ListParagraph"/>
        <w:numPr>
          <w:ilvl w:val="0"/>
          <w:numId w:val="2"/>
        </w:numPr>
        <w:spacing w:after="40" w:before="40"/>
      </w:pPr>
      <w:r>
        <w:rPr>
          <w:rFonts w:ascii="Arial" w:cs="Arial" w:eastAsia="Arial" w:hAnsi="Arial"/>
          <w:color w:val="1A1A2E"/>
          <w:sz w:val="22"/>
          <w:szCs w:val="22"/>
        </w:rPr>
        <w:t xml:space="preserve">Model drift detection: ClinicalBERT and SaulLM outputs monitored for distribution shift; retrigger fine-tuning if quality degrades</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6.2 Feedback Loop</w:t>
      </w:r>
    </w:p>
    <w:p>
      <w:pPr>
        <w:pStyle w:val="ListParagraph"/>
        <w:numPr>
          <w:ilvl w:val="0"/>
          <w:numId w:val="2"/>
        </w:numPr>
        <w:spacing w:after="40" w:before="40"/>
      </w:pPr>
      <w:r>
        <w:rPr>
          <w:rFonts w:ascii="Arial" w:cs="Arial" w:eastAsia="Arial" w:hAnsi="Arial"/>
          <w:color w:val="1A1A2E"/>
          <w:sz w:val="22"/>
          <w:szCs w:val="22"/>
        </w:rPr>
        <w:t xml:space="preserve">Attorneys can flag inaccurate findings directly in the casefile UI — flags feed a human-reviewed training dataset for future model improvements</w:t>
      </w:r>
    </w:p>
    <w:p>
      <w:pPr>
        <w:pStyle w:val="ListParagraph"/>
        <w:numPr>
          <w:ilvl w:val="0"/>
          <w:numId w:val="2"/>
        </w:numPr>
        <w:spacing w:after="40" w:before="40"/>
      </w:pPr>
      <w:r>
        <w:rPr>
          <w:rFonts w:ascii="Arial" w:cs="Arial" w:eastAsia="Arial" w:hAnsi="Arial"/>
          <w:color w:val="1A1A2E"/>
          <w:sz w:val="22"/>
          <w:szCs w:val="22"/>
        </w:rPr>
        <w:t xml:space="preserve">Settlement outcomes from cases filed using CaseFile AI are tracked (with attorney consent) to validate case value estimation accuracy</w:t>
      </w:r>
    </w:p>
    <w:p>
      <w:pPr>
        <w:pStyle w:val="ListParagraph"/>
        <w:numPr>
          <w:ilvl w:val="0"/>
          <w:numId w:val="2"/>
        </w:numPr>
        <w:spacing w:after="40" w:before="40"/>
      </w:pPr>
      <w:r>
        <w:rPr>
          <w:rFonts w:ascii="Arial" w:cs="Arial" w:eastAsia="Arial" w:hAnsi="Arial"/>
          <w:color w:val="1A1A2E"/>
          <w:sz w:val="22"/>
          <w:szCs w:val="22"/>
        </w:rPr>
        <w:t xml:space="preserve">Monthly product review with 3 pilot law firm users; findings drive sprint backlog prioritization</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6.3 Regulatory Adaptation</w:t>
      </w:r>
    </w:p>
    <w:p>
      <w:pPr>
        <w:pStyle w:val="ListParagraph"/>
        <w:numPr>
          <w:ilvl w:val="0"/>
          <w:numId w:val="2"/>
        </w:numPr>
        <w:spacing w:after="40" w:before="40"/>
      </w:pPr>
      <w:r>
        <w:rPr>
          <w:rFonts w:ascii="Arial" w:cs="Arial" w:eastAsia="Arial" w:hAnsi="Arial"/>
          <w:color w:val="1A1A2E"/>
          <w:sz w:val="22"/>
          <w:szCs w:val="22"/>
        </w:rPr>
        <w:t xml:space="preserve">DOJ FCA enforcement priority changes monitored via RSS feeds and legal newsletters — statute mapper updated within 2 weeks of major policy shifts</w:t>
      </w:r>
    </w:p>
    <w:p>
      <w:pPr>
        <w:pStyle w:val="ListParagraph"/>
        <w:numPr>
          <w:ilvl w:val="0"/>
          <w:numId w:val="2"/>
        </w:numPr>
        <w:spacing w:after="40" w:before="40"/>
      </w:pPr>
      <w:r>
        <w:rPr>
          <w:rFonts w:ascii="Arial" w:cs="Arial" w:eastAsia="Arial" w:hAnsi="Arial"/>
          <w:color w:val="1A1A2E"/>
          <w:sz w:val="22"/>
          <w:szCs w:val="22"/>
        </w:rPr>
        <w:t xml:space="preserve">CMS billing code updates (annual) trigger revalidation of fraud pattern agent's procedure-code baseline data</w:t>
      </w:r>
    </w:p>
    <w:p>
      <w:pPr>
        <w:pStyle w:val="ListParagraph"/>
        <w:numPr>
          <w:ilvl w:val="0"/>
          <w:numId w:val="2"/>
        </w:numPr>
        <w:spacing w:after="40" w:before="40"/>
      </w:pPr>
      <w:r>
        <w:rPr>
          <w:rFonts w:ascii="Arial" w:cs="Arial" w:eastAsia="Arial" w:hAnsi="Arial"/>
          <w:color w:val="1A1A2E"/>
          <w:sz w:val="22"/>
          <w:szCs w:val="22"/>
        </w:rPr>
        <w:t xml:space="preserve">State-level FCA law changes tracked for state AG customers — state-specific complaint templates updated accordingly</w:t>
      </w:r>
    </w:p>
    <w:p>
      <w:pP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Risk Register &amp; Mitigation Strategies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LLM hallucination in legal output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Citation-only output rule enforced at pipeline level; human review gate before delivery; hallucination rate QA gate blocks production deployment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Whistleblower identity breach</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Compartmentalized schema with column encryption; identity never in agent context; penetration test required pre-launch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HIPAA violation from PHI in documents</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PHI detection scan on all uploads; self-hosted models for PHI processing; BAAs with all cloud vendors; audit log of all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Spurious FCA complaint filed using output</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Confidence floor: minimum 3 HIGH findings required; attorney approval gate; explicit 'not legal advice' framing on all outputs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Model quality degradation over time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Monthly LLM eval runs; drift detection alerts; quarterly fraud pattern library review by domain expert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OpenCorporates / PACER API rate limits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High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Redis caching layer for API responses (7-day TTL); fallback to manual lookup workflow with attorney notification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Bias in fraud pattern flagging</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Pre-launch bias audit; quarterly demographic analysis of flagging rates; bias flag added to each finding for attorney awareness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Legal liability from statute mapping errors</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Explicit disclaimer on all outputs; attorney confirmation required; statute mapper framed as 'for review' not 'definitive'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Key team member departure</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Architecture documented in ADRs; prompt templates in version control; pair programming for all critical agent 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CMS data format changes</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1A1A2E"/>
                <w:sz w:val="20"/>
                <w:szCs w:val="20"/>
              </w:rPr>
              <w:t xml:space="preserve">Low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Medium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Automated format validation on CMS data ingestion; alerting if parse success rate drops below 95%</w:t>
            </w:r>
          </w:p>
        </w:tc>
      </w:tr>
    </w:tbl>
    <w:p>
      <w:pPr>
        <w:spacing w:after="120" w:before="12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SDLC Compliance &amp; Ethical AI Summary</w:t>
      </w:r>
    </w:p>
    <w:p>
      <w:pPr>
        <w:spacing w:after="80" w:before="80"/>
      </w:pPr>
      <w:r>
        <w:t xml:space="preserve"/>
      </w:r>
    </w:p>
    <w:p>
      <w:pPr>
        <w:pStyle w:val="Heading2"/>
        <w:spacing w:after="100" w:before="280"/>
      </w:pPr>
      <w:r>
        <w:rPr>
          <w:rFonts w:ascii="Arial" w:cs="Arial" w:eastAsia="Arial" w:hAnsi="Arial"/>
          <w:b/>
          <w:bCs/>
          <w:color w:val="2E75B6"/>
          <w:sz w:val="26"/>
          <w:szCs w:val="26"/>
        </w:rPr>
        <w:t xml:space="preserve">SDLC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Implementation in This Plan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Requirements traceability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Each functional requirement maps to a sprint deliverable and a test case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Iterative development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6 two-week sprints with working software at end of each sprint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Continuous integration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GitHub Actions pipeline runs on every commit; no manual deployments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Separation of concerns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Agent logic, orchestration, and UI are independently deployable services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Fail-safe defaults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Confidence floor, human gate, and citation validator are active by default — not opt-in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Documentation as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ADRs (Architecture Decision Records) committed alongside code; prompts versioned in repo</w:t>
            </w:r>
          </w:p>
        </w:tc>
      </w:tr>
    </w:tbl>
    <w:p>
      <w:pPr>
        <w:spacing w:after="80" w:before="80"/>
      </w:pPr>
      <w:r>
        <w:t xml:space="preserve"/>
      </w:r>
    </w:p>
    <w:p>
      <w:pPr>
        <w:pStyle w:val="Heading2"/>
        <w:spacing w:after="100" w:before="280"/>
      </w:pPr>
      <w:r>
        <w:rPr>
          <w:rFonts w:ascii="Arial" w:cs="Arial" w:eastAsia="Arial" w:hAnsi="Arial"/>
          <w:b/>
          <w:bCs/>
          <w:color w:val="2E75B6"/>
          <w:sz w:val="26"/>
          <w:szCs w:val="26"/>
        </w:rPr>
        <w:t xml:space="preserve">Ethical AI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Ethical Principle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 in CaseFile AI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Transparency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Every finding includes: which model produced it, which documents support it, and confidence level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 oversight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Human review gate is a hard architectural constraint — not bypassable by any user role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Fairness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Pre-launch bias audit; quarterly monitoring; bias flag on outputs for attorney awareness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Privacy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Whistleblower identity compartmentalization; minimum necessary data principle in agent context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Accountability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Immutable audit log; provenance field on all agent outputs; model version pinned in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Non-maleficence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Confidence floor prevents low-evidence complaint filings; statute mapper framed as advisory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compliance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HIPAA safeguards; ABA AI ethics guidelines; FCA procedural compliance in complaint scaffold</w:t>
            </w:r>
          </w:p>
        </w:tc>
      </w:tr>
    </w:tbl>
    <w:p>
      <w:pPr>
        <w:spacing w:after="160" w:before="160"/>
      </w:pPr>
      <w:r>
        <w:t xml:space="preserve"/>
      </w:r>
    </w:p>
    <w:p>
      <w:pPr>
        <w:pBdr>
          <w:top w:val="single" w:color="2E75B6" w:sz="6" w:space="4"/>
        </w:pBdr>
        <w:spacing w:after="80" w:before="400"/>
        <w:jc w:val="center"/>
      </w:pPr>
      <w:r>
        <w:rPr>
          <w:rFonts w:ascii="Arial" w:cs="Arial" w:eastAsia="Arial" w:hAnsi="Arial"/>
          <w:color w:val="888888"/>
          <w:sz w:val="20"/>
          <w:szCs w:val="20"/>
        </w:rPr>
        <w:t xml:space="preserve">CaseFile AI — Software Development Plan v1.0</w:t>
      </w:r>
    </w:p>
    <w:p>
      <w:pPr>
        <w:jc w:val="center"/>
      </w:pPr>
      <w:r>
        <w:rPr>
          <w:rFonts w:ascii="Arial" w:cs="Arial" w:eastAsia="Arial" w:hAnsi="Arial"/>
          <w:color w:val="AAAAAA"/>
          <w:sz w:val="18"/>
          <w:szCs w:val="18"/>
        </w:rPr>
        <w:t xml:space="preserve">Prepared for AI for Government Hackathon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spacing w:after="0" w:before="80"/>
    </w:pPr>
    <w:r>
      <w:rPr>
        <w:rFonts w:ascii="Arial" w:cs="Arial" w:eastAsia="Arial" w:hAnsi="Arial"/>
        <w:color w:val="666666"/>
        <w:sz w:val="18"/>
        <w:szCs w:val="18"/>
      </w:rPr>
      <w:t xml:space="preserve">Whistleblower Casefile AI Platform</w:t>
    </w:r>
    <w:r>
      <w:rPr>
        <w:rFonts w:ascii="Arial" w:cs="Arial" w:eastAsia="Arial" w:hAnsi="Arial"/>
        <w:color w:val="666666"/>
        <w:sz w:val="18"/>
        <w:szCs w:val="18"/>
      </w:rPr>
      <w:t xml:space="preserve">	Page 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before="0"/>
    </w:pPr>
    <w:r>
      <w:rPr>
        <w:rFonts w:ascii="Arial" w:cs="Arial" w:eastAsia="Arial" w:hAnsi="Arial"/>
        <w:color w:val="666666"/>
        <w:sz w:val="18"/>
        <w:szCs w:val="18"/>
      </w:rPr>
      <w:t xml:space="preserve">CaseFile AI | Software Development Plan</w:t>
    </w:r>
    <w:r>
      <w:rPr>
        <w:rFonts w:ascii="Arial" w:cs="Arial" w:eastAsia="Arial" w:hAnsi="Arial"/>
        <w:b/>
        <w:bCs/>
        <w:color w:val="2E75B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2026-04-24T03:36:47.802Z</dcterms:created>
  <dcterms:modified xsi:type="dcterms:W3CDTF">2026-04-24T03:36:47.804Z</dcterms:modified>
</cp:coreProperties>
</file>

<file path=docProps/custom.xml><?xml version="1.0" encoding="utf-8"?>
<Properties xmlns="http://schemas.openxmlformats.org/officeDocument/2006/custom-properties" xmlns:vt="http://schemas.openxmlformats.org/officeDocument/2006/docPropsVTypes"/>
</file>