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EE91" w14:textId="59823C91" w:rsidR="00B173B3" w:rsidRPr="00B173B3" w:rsidRDefault="00B173B3" w:rsidP="00B173B3"/>
    <w:p w14:paraId="11ECF503" w14:textId="77777777" w:rsidR="00B173B3" w:rsidRPr="00B173B3" w:rsidRDefault="00B173B3" w:rsidP="00B173B3">
      <w:r w:rsidRPr="00B173B3">
        <w:t>LEADERSHIP BRIEF – RICE BRAN OIL PROCUREMENT DIVERSIFICATION</w:t>
      </w:r>
      <w:r w:rsidRPr="00B173B3">
        <w:br/>
        <w:t>Assumed Total Category Spend 2024: USD 2,000,000</w:t>
      </w:r>
    </w:p>
    <w:p w14:paraId="4A8040BE" w14:textId="77777777" w:rsidR="00B173B3" w:rsidRPr="00B173B3" w:rsidRDefault="00B173B3" w:rsidP="00B173B3">
      <w:r w:rsidRPr="00B173B3">
        <w:t>CURRENT STATE – SUPPLIER CONCENTRATION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2"/>
        <w:gridCol w:w="5804"/>
      </w:tblGrid>
      <w:tr w:rsidR="00B173B3" w:rsidRPr="00B173B3" w14:paraId="26438D90" w14:textId="77777777">
        <w:trPr>
          <w:tblHeader/>
          <w:tblCellSpacing w:w="15" w:type="dxa"/>
        </w:trPr>
        <w:tc>
          <w:tcPr>
            <w:tcW w:w="0" w:type="auto"/>
            <w:vAlign w:val="center"/>
            <w:hideMark/>
          </w:tcPr>
          <w:p w14:paraId="35408BE5" w14:textId="77777777" w:rsidR="00B173B3" w:rsidRPr="00B173B3" w:rsidRDefault="00B173B3" w:rsidP="00B173B3">
            <w:pPr>
              <w:rPr>
                <w:b/>
                <w:bCs/>
              </w:rPr>
            </w:pPr>
            <w:r w:rsidRPr="00B173B3">
              <w:rPr>
                <w:b/>
                <w:bCs/>
              </w:rPr>
              <w:t>Metric</w:t>
            </w:r>
          </w:p>
        </w:tc>
        <w:tc>
          <w:tcPr>
            <w:tcW w:w="0" w:type="auto"/>
            <w:vAlign w:val="center"/>
            <w:hideMark/>
          </w:tcPr>
          <w:p w14:paraId="0843A5FD" w14:textId="77777777" w:rsidR="00B173B3" w:rsidRPr="00B173B3" w:rsidRDefault="00B173B3" w:rsidP="00B173B3">
            <w:pPr>
              <w:rPr>
                <w:b/>
                <w:bCs/>
              </w:rPr>
            </w:pPr>
            <w:r w:rsidRPr="00B173B3">
              <w:rPr>
                <w:b/>
                <w:bCs/>
              </w:rPr>
              <w:t>2024 Original</w:t>
            </w:r>
          </w:p>
        </w:tc>
      </w:tr>
      <w:tr w:rsidR="00B173B3" w:rsidRPr="00B173B3" w14:paraId="380DE94E" w14:textId="77777777">
        <w:trPr>
          <w:tblCellSpacing w:w="15" w:type="dxa"/>
        </w:trPr>
        <w:tc>
          <w:tcPr>
            <w:tcW w:w="0" w:type="auto"/>
            <w:vAlign w:val="center"/>
            <w:hideMark/>
          </w:tcPr>
          <w:p w14:paraId="089A9F10" w14:textId="77777777" w:rsidR="00B173B3" w:rsidRPr="00B173B3" w:rsidRDefault="00B173B3" w:rsidP="00B173B3">
            <w:r w:rsidRPr="00B173B3">
              <w:t>Supplier</w:t>
            </w:r>
          </w:p>
        </w:tc>
        <w:tc>
          <w:tcPr>
            <w:tcW w:w="0" w:type="auto"/>
            <w:vAlign w:val="center"/>
            <w:hideMark/>
          </w:tcPr>
          <w:p w14:paraId="2ED4E2CF" w14:textId="77777777" w:rsidR="00B173B3" w:rsidRPr="00B173B3" w:rsidRDefault="00B173B3" w:rsidP="00B173B3">
            <w:r w:rsidRPr="00B173B3">
              <w:t>GBE Group</w:t>
            </w:r>
          </w:p>
        </w:tc>
      </w:tr>
      <w:tr w:rsidR="00B173B3" w:rsidRPr="00B173B3" w14:paraId="5FA71E37" w14:textId="77777777">
        <w:trPr>
          <w:tblCellSpacing w:w="15" w:type="dxa"/>
        </w:trPr>
        <w:tc>
          <w:tcPr>
            <w:tcW w:w="0" w:type="auto"/>
            <w:vAlign w:val="center"/>
            <w:hideMark/>
          </w:tcPr>
          <w:p w14:paraId="08BC2177" w14:textId="77777777" w:rsidR="00B173B3" w:rsidRPr="00B173B3" w:rsidRDefault="00B173B3" w:rsidP="00B173B3">
            <w:r w:rsidRPr="00B173B3">
              <w:t>Supplier Location</w:t>
            </w:r>
          </w:p>
        </w:tc>
        <w:tc>
          <w:tcPr>
            <w:tcW w:w="0" w:type="auto"/>
            <w:vAlign w:val="center"/>
            <w:hideMark/>
          </w:tcPr>
          <w:p w14:paraId="345C9AB0" w14:textId="77777777" w:rsidR="00B173B3" w:rsidRPr="00B173B3" w:rsidRDefault="00B173B3" w:rsidP="00B173B3">
            <w:r w:rsidRPr="00B173B3">
              <w:t>Malaysia + Vietnam</w:t>
            </w:r>
          </w:p>
        </w:tc>
      </w:tr>
      <w:tr w:rsidR="00B173B3" w:rsidRPr="00B173B3" w14:paraId="62B4D9C9" w14:textId="77777777">
        <w:trPr>
          <w:tblCellSpacing w:w="15" w:type="dxa"/>
        </w:trPr>
        <w:tc>
          <w:tcPr>
            <w:tcW w:w="0" w:type="auto"/>
            <w:vAlign w:val="center"/>
            <w:hideMark/>
          </w:tcPr>
          <w:p w14:paraId="293EFA60" w14:textId="77777777" w:rsidR="00B173B3" w:rsidRPr="00B173B3" w:rsidRDefault="00B173B3" w:rsidP="00B173B3">
            <w:r w:rsidRPr="00B173B3">
              <w:t>Spend Share</w:t>
            </w:r>
          </w:p>
        </w:tc>
        <w:tc>
          <w:tcPr>
            <w:tcW w:w="0" w:type="auto"/>
            <w:vAlign w:val="center"/>
            <w:hideMark/>
          </w:tcPr>
          <w:p w14:paraId="7017F8E8" w14:textId="77777777" w:rsidR="00B173B3" w:rsidRPr="00B173B3" w:rsidRDefault="00B173B3" w:rsidP="00B173B3">
            <w:r w:rsidRPr="00B173B3">
              <w:t>90% = USD 1,800,000</w:t>
            </w:r>
          </w:p>
        </w:tc>
      </w:tr>
      <w:tr w:rsidR="00B173B3" w:rsidRPr="00B173B3" w14:paraId="11B58C9E" w14:textId="77777777">
        <w:trPr>
          <w:tblCellSpacing w:w="15" w:type="dxa"/>
        </w:trPr>
        <w:tc>
          <w:tcPr>
            <w:tcW w:w="0" w:type="auto"/>
            <w:vAlign w:val="center"/>
            <w:hideMark/>
          </w:tcPr>
          <w:p w14:paraId="4F13D773" w14:textId="77777777" w:rsidR="00B173B3" w:rsidRPr="00B173B3" w:rsidRDefault="00B173B3" w:rsidP="00B173B3">
            <w:r w:rsidRPr="00B173B3">
              <w:t>Current Rice Bran Oil Buying from Supplier</w:t>
            </w:r>
          </w:p>
        </w:tc>
        <w:tc>
          <w:tcPr>
            <w:tcW w:w="0" w:type="auto"/>
            <w:vAlign w:val="center"/>
            <w:hideMark/>
          </w:tcPr>
          <w:p w14:paraId="473D320A" w14:textId="77777777" w:rsidR="00B173B3" w:rsidRPr="00B173B3" w:rsidRDefault="00B173B3" w:rsidP="00B173B3">
            <w:r w:rsidRPr="00B173B3">
              <w:t>Yes</w:t>
            </w:r>
          </w:p>
        </w:tc>
      </w:tr>
      <w:tr w:rsidR="00B173B3" w:rsidRPr="00B173B3" w14:paraId="18888DC7" w14:textId="77777777">
        <w:trPr>
          <w:tblCellSpacing w:w="15" w:type="dxa"/>
        </w:trPr>
        <w:tc>
          <w:tcPr>
            <w:tcW w:w="0" w:type="auto"/>
            <w:vAlign w:val="center"/>
            <w:hideMark/>
          </w:tcPr>
          <w:p w14:paraId="7CE03AD9" w14:textId="77777777" w:rsidR="00B173B3" w:rsidRPr="00B173B3" w:rsidRDefault="00B173B3" w:rsidP="00B173B3">
            <w:r w:rsidRPr="00B173B3">
              <w:t>Alternate Supplier for Rice Bran Oil</w:t>
            </w:r>
          </w:p>
        </w:tc>
        <w:tc>
          <w:tcPr>
            <w:tcW w:w="0" w:type="auto"/>
            <w:vAlign w:val="center"/>
            <w:hideMark/>
          </w:tcPr>
          <w:p w14:paraId="413E928A" w14:textId="77777777" w:rsidR="00B173B3" w:rsidRPr="00B173B3" w:rsidRDefault="00B173B3" w:rsidP="00B173B3">
            <w:proofErr w:type="gramStart"/>
            <w:r w:rsidRPr="00B173B3">
              <w:t>None active</w:t>
            </w:r>
            <w:proofErr w:type="gramEnd"/>
            <w:r w:rsidRPr="00B173B3">
              <w:t xml:space="preserve"> today</w:t>
            </w:r>
          </w:p>
        </w:tc>
      </w:tr>
      <w:tr w:rsidR="00B173B3" w:rsidRPr="00B173B3" w14:paraId="466C121C" w14:textId="77777777">
        <w:trPr>
          <w:tblCellSpacing w:w="15" w:type="dxa"/>
        </w:trPr>
        <w:tc>
          <w:tcPr>
            <w:tcW w:w="0" w:type="auto"/>
            <w:vAlign w:val="center"/>
            <w:hideMark/>
          </w:tcPr>
          <w:p w14:paraId="49B3D65F" w14:textId="77777777" w:rsidR="00B173B3" w:rsidRPr="00B173B3" w:rsidRDefault="00B173B3" w:rsidP="00B173B3">
            <w:r w:rsidRPr="00B173B3">
              <w:t>Key Risk</w:t>
            </w:r>
          </w:p>
        </w:tc>
        <w:tc>
          <w:tcPr>
            <w:tcW w:w="0" w:type="auto"/>
            <w:vAlign w:val="center"/>
            <w:hideMark/>
          </w:tcPr>
          <w:p w14:paraId="1333D481" w14:textId="77777777" w:rsidR="00B173B3" w:rsidRPr="00B173B3" w:rsidRDefault="00B173B3" w:rsidP="00B173B3">
            <w:r w:rsidRPr="00B173B3">
              <w:t>Extreme single-supplier lock-in and Southeast Asia supply corridor dependency</w:t>
            </w:r>
          </w:p>
        </w:tc>
      </w:tr>
    </w:tbl>
    <w:p w14:paraId="3AFF8D52" w14:textId="1EB158E3" w:rsidR="00B173B3" w:rsidRPr="00B173B3" w:rsidRDefault="00B173B3" w:rsidP="00B173B3">
      <w:r w:rsidRPr="00B173B3">
        <w:t xml:space="preserve">OVERALL RISK STATEMENT </w:t>
      </w:r>
    </w:p>
    <w:p w14:paraId="78DD51C3" w14:textId="77777777" w:rsidR="00B173B3" w:rsidRPr="00B173B3" w:rsidRDefault="00B173B3" w:rsidP="00B173B3">
      <w:r w:rsidRPr="00B173B3">
        <w:t>Our current rice bran oil procurement is sourced entirely from GBE Group, representing 90% of the total category spend (USD 1.8M of USD 2M assumed annual spend in 2024). While GBE supplies from multiple countries within Southeast Asia (Malaysia 46%, Vietnam 44%), we currently do not buy rice bran oil at all from Delta Edible Oils Consortium, an already approved incumbent supplier in our system with operational presence across India, Thailand, Indonesia, and China for other edible oil categories. This creates both a high supplier commercial lock-in risk and a correlated regional logistics corridor risk. It is recommended to activate rice bran oil procurement with Delta to offset this dependency, introduce price competition, and enable alternate logistics routing, while continuing optimization and quarterly rebalancing.</w:t>
      </w:r>
    </w:p>
    <w:p w14:paraId="7DDD2FCB" w14:textId="77777777" w:rsidR="00B173B3" w:rsidRDefault="00B173B3" w:rsidP="00B173B3"/>
    <w:p w14:paraId="1C1BF7AE" w14:textId="77777777" w:rsidR="00B173B3" w:rsidRDefault="00B173B3" w:rsidP="00B173B3"/>
    <w:p w14:paraId="3D410875" w14:textId="77777777" w:rsidR="00B173B3" w:rsidRDefault="00B173B3" w:rsidP="00B173B3"/>
    <w:p w14:paraId="0C618FBA" w14:textId="77777777" w:rsidR="00B173B3" w:rsidRDefault="00B173B3" w:rsidP="00B173B3"/>
    <w:p w14:paraId="7159C589" w14:textId="77777777" w:rsidR="00B173B3" w:rsidRDefault="00B173B3" w:rsidP="00B173B3"/>
    <w:p w14:paraId="308C335C" w14:textId="77777777" w:rsidR="00B173B3" w:rsidRDefault="00B173B3" w:rsidP="00B173B3"/>
    <w:p w14:paraId="5D9690E9" w14:textId="1BFC13B1" w:rsidR="00B173B3" w:rsidRPr="00B173B3" w:rsidRDefault="00B173B3" w:rsidP="00B173B3">
      <w:r w:rsidRPr="00B173B3">
        <w:lastRenderedPageBreak/>
        <w:t>SUPPLIER SHARE REDUCTION IMPACT (TARGET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3"/>
        <w:gridCol w:w="66"/>
        <w:gridCol w:w="66"/>
        <w:gridCol w:w="81"/>
      </w:tblGrid>
      <w:tr w:rsidR="00B173B3" w:rsidRPr="00B173B3" w14:paraId="1038E4F2" w14:textId="77777777" w:rsidTr="00B173B3">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1421"/>
              <w:gridCol w:w="1503"/>
              <w:gridCol w:w="3313"/>
            </w:tblGrid>
            <w:tr w:rsidR="00B173B3" w:rsidRPr="00B173B3" w14:paraId="7FE6FB67" w14:textId="77777777">
              <w:trPr>
                <w:tblHeader/>
                <w:tblCellSpacing w:w="15" w:type="dxa"/>
              </w:trPr>
              <w:tc>
                <w:tcPr>
                  <w:tcW w:w="0" w:type="auto"/>
                  <w:vAlign w:val="center"/>
                  <w:hideMark/>
                </w:tcPr>
                <w:p w14:paraId="1D9D9692" w14:textId="77777777" w:rsidR="00B173B3" w:rsidRPr="00B173B3" w:rsidRDefault="00B173B3" w:rsidP="00B173B3">
                  <w:pPr>
                    <w:spacing w:after="0" w:line="240" w:lineRule="auto"/>
                    <w:jc w:val="center"/>
                    <w:rPr>
                      <w:rFonts w:ascii="Times New Roman" w:eastAsia="Times New Roman" w:hAnsi="Times New Roman" w:cs="Times New Roman"/>
                      <w:b/>
                      <w:bCs/>
                      <w:kern w:val="0"/>
                      <w:lang w:eastAsia="en-IN"/>
                      <w14:ligatures w14:val="none"/>
                    </w:rPr>
                  </w:pPr>
                  <w:r w:rsidRPr="00B173B3">
                    <w:rPr>
                      <w:rFonts w:ascii="Times New Roman" w:eastAsia="Times New Roman" w:hAnsi="Times New Roman" w:cs="Times New Roman"/>
                      <w:b/>
                      <w:bCs/>
                      <w:kern w:val="0"/>
                      <w:lang w:eastAsia="en-IN"/>
                      <w14:ligatures w14:val="none"/>
                    </w:rPr>
                    <w:t>Supplier</w:t>
                  </w:r>
                </w:p>
              </w:tc>
              <w:tc>
                <w:tcPr>
                  <w:tcW w:w="0" w:type="auto"/>
                  <w:vAlign w:val="center"/>
                  <w:hideMark/>
                </w:tcPr>
                <w:p w14:paraId="41A60DCB" w14:textId="77777777" w:rsidR="00B173B3" w:rsidRPr="00B173B3" w:rsidRDefault="00B173B3" w:rsidP="00B173B3">
                  <w:pPr>
                    <w:spacing w:after="0" w:line="240" w:lineRule="auto"/>
                    <w:jc w:val="right"/>
                    <w:rPr>
                      <w:rFonts w:ascii="Times New Roman" w:eastAsia="Times New Roman" w:hAnsi="Times New Roman" w:cs="Times New Roman"/>
                      <w:b/>
                      <w:bCs/>
                      <w:kern w:val="0"/>
                      <w:lang w:eastAsia="en-IN"/>
                      <w14:ligatures w14:val="none"/>
                    </w:rPr>
                  </w:pPr>
                  <w:r w:rsidRPr="00B173B3">
                    <w:rPr>
                      <w:rFonts w:ascii="Times New Roman" w:eastAsia="Times New Roman" w:hAnsi="Times New Roman" w:cs="Times New Roman"/>
                      <w:b/>
                      <w:bCs/>
                      <w:kern w:val="0"/>
                      <w:lang w:eastAsia="en-IN"/>
                      <w14:ligatures w14:val="none"/>
                    </w:rPr>
                    <w:t>Original Share</w:t>
                  </w:r>
                </w:p>
              </w:tc>
              <w:tc>
                <w:tcPr>
                  <w:tcW w:w="0" w:type="auto"/>
                  <w:vAlign w:val="center"/>
                  <w:hideMark/>
                </w:tcPr>
                <w:p w14:paraId="1A6C0BC6" w14:textId="77777777" w:rsidR="00B173B3" w:rsidRPr="00B173B3" w:rsidRDefault="00B173B3" w:rsidP="00B173B3">
                  <w:pPr>
                    <w:spacing w:after="0" w:line="240" w:lineRule="auto"/>
                    <w:jc w:val="right"/>
                    <w:rPr>
                      <w:rFonts w:ascii="Times New Roman" w:eastAsia="Times New Roman" w:hAnsi="Times New Roman" w:cs="Times New Roman"/>
                      <w:b/>
                      <w:bCs/>
                      <w:kern w:val="0"/>
                      <w:lang w:eastAsia="en-IN"/>
                      <w14:ligatures w14:val="none"/>
                    </w:rPr>
                  </w:pPr>
                  <w:r w:rsidRPr="00B173B3">
                    <w:rPr>
                      <w:rFonts w:ascii="Times New Roman" w:eastAsia="Times New Roman" w:hAnsi="Times New Roman" w:cs="Times New Roman"/>
                      <w:b/>
                      <w:bCs/>
                      <w:kern w:val="0"/>
                      <w:lang w:eastAsia="en-IN"/>
                      <w14:ligatures w14:val="none"/>
                    </w:rPr>
                    <w:t>New Target Cap</w:t>
                  </w:r>
                </w:p>
              </w:tc>
              <w:tc>
                <w:tcPr>
                  <w:tcW w:w="0" w:type="auto"/>
                  <w:vAlign w:val="center"/>
                  <w:hideMark/>
                </w:tcPr>
                <w:p w14:paraId="3E0C7B67" w14:textId="77777777" w:rsidR="00B173B3" w:rsidRPr="00B173B3" w:rsidRDefault="00B173B3" w:rsidP="00B173B3">
                  <w:pPr>
                    <w:spacing w:after="0" w:line="240" w:lineRule="auto"/>
                    <w:jc w:val="right"/>
                    <w:rPr>
                      <w:rFonts w:ascii="Times New Roman" w:eastAsia="Times New Roman" w:hAnsi="Times New Roman" w:cs="Times New Roman"/>
                      <w:b/>
                      <w:bCs/>
                      <w:kern w:val="0"/>
                      <w:lang w:eastAsia="en-IN"/>
                      <w14:ligatures w14:val="none"/>
                    </w:rPr>
                  </w:pPr>
                  <w:r w:rsidRPr="00B173B3">
                    <w:rPr>
                      <w:rFonts w:ascii="Times New Roman" w:eastAsia="Times New Roman" w:hAnsi="Times New Roman" w:cs="Times New Roman"/>
                      <w:b/>
                      <w:bCs/>
                      <w:kern w:val="0"/>
                      <w:lang w:eastAsia="en-IN"/>
                      <w14:ligatures w14:val="none"/>
                    </w:rPr>
                    <w:t>Reduction in Concentration</w:t>
                  </w:r>
                </w:p>
              </w:tc>
            </w:tr>
            <w:tr w:rsidR="00B173B3" w:rsidRPr="00B173B3" w14:paraId="44233C2D" w14:textId="77777777">
              <w:trPr>
                <w:tblCellSpacing w:w="15" w:type="dxa"/>
              </w:trPr>
              <w:tc>
                <w:tcPr>
                  <w:tcW w:w="0" w:type="auto"/>
                  <w:vAlign w:val="center"/>
                  <w:hideMark/>
                </w:tcPr>
                <w:p w14:paraId="5B478837" w14:textId="77777777" w:rsidR="00B173B3" w:rsidRPr="00B173B3" w:rsidRDefault="00B173B3" w:rsidP="00B173B3">
                  <w:pPr>
                    <w:spacing w:after="0" w:line="240" w:lineRule="auto"/>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GBE Group</w:t>
                  </w:r>
                </w:p>
              </w:tc>
              <w:tc>
                <w:tcPr>
                  <w:tcW w:w="0" w:type="auto"/>
                  <w:vAlign w:val="center"/>
                  <w:hideMark/>
                </w:tcPr>
                <w:p w14:paraId="6241921A"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90%</w:t>
                  </w:r>
                </w:p>
              </w:tc>
              <w:tc>
                <w:tcPr>
                  <w:tcW w:w="0" w:type="auto"/>
                  <w:vAlign w:val="center"/>
                  <w:hideMark/>
                </w:tcPr>
                <w:p w14:paraId="088ECD69"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62%</w:t>
                  </w:r>
                </w:p>
              </w:tc>
              <w:tc>
                <w:tcPr>
                  <w:tcW w:w="0" w:type="auto"/>
                  <w:vAlign w:val="center"/>
                  <w:hideMark/>
                </w:tcPr>
                <w:p w14:paraId="696AE014"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28% reduction</w:t>
                  </w:r>
                </w:p>
              </w:tc>
            </w:tr>
            <w:tr w:rsidR="00B173B3" w:rsidRPr="00B173B3" w14:paraId="13A25E2B" w14:textId="77777777">
              <w:trPr>
                <w:tblCellSpacing w:w="15" w:type="dxa"/>
              </w:trPr>
              <w:tc>
                <w:tcPr>
                  <w:tcW w:w="0" w:type="auto"/>
                  <w:vAlign w:val="center"/>
                  <w:hideMark/>
                </w:tcPr>
                <w:p w14:paraId="16C86D2E" w14:textId="77777777" w:rsidR="00B173B3" w:rsidRPr="00B173B3" w:rsidRDefault="00B173B3" w:rsidP="00B173B3">
                  <w:pPr>
                    <w:spacing w:after="0" w:line="240" w:lineRule="auto"/>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Delta Edible Oils Consortium</w:t>
                  </w:r>
                </w:p>
              </w:tc>
              <w:tc>
                <w:tcPr>
                  <w:tcW w:w="0" w:type="auto"/>
                  <w:vAlign w:val="center"/>
                  <w:hideMark/>
                </w:tcPr>
                <w:p w14:paraId="22114798"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0%</w:t>
                  </w:r>
                </w:p>
              </w:tc>
              <w:tc>
                <w:tcPr>
                  <w:tcW w:w="0" w:type="auto"/>
                  <w:vAlign w:val="center"/>
                  <w:hideMark/>
                </w:tcPr>
                <w:p w14:paraId="0BF44972"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38%</w:t>
                  </w:r>
                </w:p>
              </w:tc>
              <w:tc>
                <w:tcPr>
                  <w:tcW w:w="0" w:type="auto"/>
                  <w:vAlign w:val="center"/>
                  <w:hideMark/>
                </w:tcPr>
                <w:p w14:paraId="35B248DF"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Enables supplier competition + fallback</w:t>
                  </w:r>
                </w:p>
              </w:tc>
            </w:tr>
          </w:tbl>
          <w:p w14:paraId="74422A36" w14:textId="64A4665E" w:rsidR="00B173B3" w:rsidRPr="00B173B3" w:rsidRDefault="00B173B3" w:rsidP="00B173B3">
            <w:pPr>
              <w:rPr>
                <w:b/>
                <w:bCs/>
              </w:rPr>
            </w:pPr>
          </w:p>
        </w:tc>
        <w:tc>
          <w:tcPr>
            <w:tcW w:w="0" w:type="auto"/>
            <w:vAlign w:val="center"/>
          </w:tcPr>
          <w:p w14:paraId="295A4537" w14:textId="49307FD2" w:rsidR="00B173B3" w:rsidRPr="00B173B3" w:rsidRDefault="00B173B3" w:rsidP="00B173B3">
            <w:pPr>
              <w:rPr>
                <w:b/>
                <w:bCs/>
              </w:rPr>
            </w:pPr>
          </w:p>
        </w:tc>
        <w:tc>
          <w:tcPr>
            <w:tcW w:w="0" w:type="auto"/>
            <w:vAlign w:val="center"/>
          </w:tcPr>
          <w:p w14:paraId="071E2288" w14:textId="1A97B612" w:rsidR="00B173B3" w:rsidRPr="00B173B3" w:rsidRDefault="00B173B3" w:rsidP="00B173B3">
            <w:pPr>
              <w:rPr>
                <w:b/>
                <w:bCs/>
              </w:rPr>
            </w:pPr>
          </w:p>
        </w:tc>
        <w:tc>
          <w:tcPr>
            <w:tcW w:w="0" w:type="auto"/>
            <w:vAlign w:val="center"/>
          </w:tcPr>
          <w:p w14:paraId="2A1F5CD3" w14:textId="14ABB6FD" w:rsidR="00B173B3" w:rsidRPr="00B173B3" w:rsidRDefault="00B173B3" w:rsidP="00B173B3">
            <w:pPr>
              <w:rPr>
                <w:b/>
                <w:bCs/>
              </w:rPr>
            </w:pPr>
          </w:p>
        </w:tc>
      </w:tr>
      <w:tr w:rsidR="00B173B3" w:rsidRPr="00B173B3" w14:paraId="162400FC" w14:textId="77777777" w:rsidTr="00B173B3">
        <w:trPr>
          <w:tblCellSpacing w:w="15" w:type="dxa"/>
        </w:trPr>
        <w:tc>
          <w:tcPr>
            <w:tcW w:w="0" w:type="auto"/>
            <w:vAlign w:val="center"/>
          </w:tcPr>
          <w:p w14:paraId="71B3C6AB" w14:textId="28927A06" w:rsidR="00B173B3" w:rsidRPr="00B173B3" w:rsidRDefault="00B173B3" w:rsidP="00B173B3"/>
        </w:tc>
        <w:tc>
          <w:tcPr>
            <w:tcW w:w="0" w:type="auto"/>
            <w:vAlign w:val="center"/>
          </w:tcPr>
          <w:p w14:paraId="18D97526" w14:textId="555E954C" w:rsidR="00B173B3" w:rsidRPr="00B173B3" w:rsidRDefault="00B173B3" w:rsidP="00B173B3"/>
        </w:tc>
        <w:tc>
          <w:tcPr>
            <w:tcW w:w="0" w:type="auto"/>
            <w:vAlign w:val="center"/>
          </w:tcPr>
          <w:p w14:paraId="6970035A" w14:textId="71DD6452" w:rsidR="00B173B3" w:rsidRPr="00B173B3" w:rsidRDefault="00B173B3" w:rsidP="00B173B3"/>
        </w:tc>
        <w:tc>
          <w:tcPr>
            <w:tcW w:w="0" w:type="auto"/>
            <w:vAlign w:val="center"/>
          </w:tcPr>
          <w:p w14:paraId="093D77A7" w14:textId="11F7FE24" w:rsidR="00B173B3" w:rsidRPr="00B173B3" w:rsidRDefault="00B173B3" w:rsidP="00B173B3"/>
        </w:tc>
      </w:tr>
      <w:tr w:rsidR="00B173B3" w:rsidRPr="00B173B3" w14:paraId="6639A93C" w14:textId="77777777" w:rsidTr="00B173B3">
        <w:trPr>
          <w:tblCellSpacing w:w="15" w:type="dxa"/>
        </w:trPr>
        <w:tc>
          <w:tcPr>
            <w:tcW w:w="0" w:type="auto"/>
            <w:vAlign w:val="center"/>
          </w:tcPr>
          <w:p w14:paraId="7E4689AD" w14:textId="7AE9475F" w:rsidR="00B173B3" w:rsidRPr="00B173B3" w:rsidRDefault="00B173B3" w:rsidP="00B173B3"/>
        </w:tc>
        <w:tc>
          <w:tcPr>
            <w:tcW w:w="0" w:type="auto"/>
            <w:vAlign w:val="center"/>
          </w:tcPr>
          <w:p w14:paraId="731CB2A6" w14:textId="754F3676" w:rsidR="00B173B3" w:rsidRPr="00B173B3" w:rsidRDefault="00B173B3" w:rsidP="00B173B3"/>
        </w:tc>
        <w:tc>
          <w:tcPr>
            <w:tcW w:w="0" w:type="auto"/>
            <w:vAlign w:val="center"/>
          </w:tcPr>
          <w:p w14:paraId="2EFE6D70" w14:textId="7C80D3ED" w:rsidR="00B173B3" w:rsidRPr="00B173B3" w:rsidRDefault="00B173B3" w:rsidP="00B173B3"/>
        </w:tc>
        <w:tc>
          <w:tcPr>
            <w:tcW w:w="0" w:type="auto"/>
            <w:vAlign w:val="center"/>
          </w:tcPr>
          <w:p w14:paraId="71B92126" w14:textId="166003DC" w:rsidR="00B173B3" w:rsidRPr="00B173B3" w:rsidRDefault="00B173B3" w:rsidP="00B173B3"/>
        </w:tc>
      </w:tr>
    </w:tbl>
    <w:p w14:paraId="4D1E5B82" w14:textId="77777777" w:rsidR="00B173B3" w:rsidRPr="00B173B3" w:rsidRDefault="00B173B3" w:rsidP="00B173B3">
      <w:r w:rsidRPr="00B173B3">
        <w:t>REGIONAL DEPENDENCY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6"/>
        <w:gridCol w:w="66"/>
        <w:gridCol w:w="66"/>
        <w:gridCol w:w="81"/>
      </w:tblGrid>
      <w:tr w:rsidR="00B173B3" w:rsidRPr="00B173B3" w14:paraId="153F795D" w14:textId="77777777" w:rsidTr="00B173B3">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1467"/>
              <w:gridCol w:w="1267"/>
              <w:gridCol w:w="1842"/>
            </w:tblGrid>
            <w:tr w:rsidR="00B173B3" w:rsidRPr="00B173B3" w14:paraId="0A92378E" w14:textId="77777777">
              <w:trPr>
                <w:tblHeader/>
                <w:tblCellSpacing w:w="15" w:type="dxa"/>
              </w:trPr>
              <w:tc>
                <w:tcPr>
                  <w:tcW w:w="0" w:type="auto"/>
                  <w:vAlign w:val="center"/>
                  <w:hideMark/>
                </w:tcPr>
                <w:p w14:paraId="69098ADB" w14:textId="77777777" w:rsidR="00B173B3" w:rsidRPr="00B173B3" w:rsidRDefault="00B173B3" w:rsidP="00B173B3">
                  <w:pPr>
                    <w:spacing w:after="0" w:line="240" w:lineRule="auto"/>
                    <w:jc w:val="center"/>
                    <w:rPr>
                      <w:rFonts w:ascii="Times New Roman" w:eastAsia="Times New Roman" w:hAnsi="Times New Roman" w:cs="Times New Roman"/>
                      <w:b/>
                      <w:bCs/>
                      <w:kern w:val="0"/>
                      <w:lang w:eastAsia="en-IN"/>
                      <w14:ligatures w14:val="none"/>
                    </w:rPr>
                  </w:pPr>
                  <w:r w:rsidRPr="00B173B3">
                    <w:rPr>
                      <w:rFonts w:ascii="Times New Roman" w:eastAsia="Times New Roman" w:hAnsi="Times New Roman" w:cs="Times New Roman"/>
                      <w:b/>
                      <w:bCs/>
                      <w:kern w:val="0"/>
                      <w:lang w:eastAsia="en-IN"/>
                      <w14:ligatures w14:val="none"/>
                    </w:rPr>
                    <w:t>Metric</w:t>
                  </w:r>
                </w:p>
              </w:tc>
              <w:tc>
                <w:tcPr>
                  <w:tcW w:w="0" w:type="auto"/>
                  <w:vAlign w:val="center"/>
                  <w:hideMark/>
                </w:tcPr>
                <w:p w14:paraId="2E20DC89" w14:textId="77777777" w:rsidR="00B173B3" w:rsidRPr="00B173B3" w:rsidRDefault="00B173B3" w:rsidP="00B173B3">
                  <w:pPr>
                    <w:spacing w:after="0" w:line="240" w:lineRule="auto"/>
                    <w:jc w:val="right"/>
                    <w:rPr>
                      <w:rFonts w:ascii="Times New Roman" w:eastAsia="Times New Roman" w:hAnsi="Times New Roman" w:cs="Times New Roman"/>
                      <w:b/>
                      <w:bCs/>
                      <w:kern w:val="0"/>
                      <w:lang w:eastAsia="en-IN"/>
                      <w14:ligatures w14:val="none"/>
                    </w:rPr>
                  </w:pPr>
                  <w:r w:rsidRPr="00B173B3">
                    <w:rPr>
                      <w:rFonts w:ascii="Times New Roman" w:eastAsia="Times New Roman" w:hAnsi="Times New Roman" w:cs="Times New Roman"/>
                      <w:b/>
                      <w:bCs/>
                      <w:kern w:val="0"/>
                      <w:lang w:eastAsia="en-IN"/>
                      <w14:ligatures w14:val="none"/>
                    </w:rPr>
                    <w:t>Original 2024</w:t>
                  </w:r>
                </w:p>
              </w:tc>
              <w:tc>
                <w:tcPr>
                  <w:tcW w:w="0" w:type="auto"/>
                  <w:vAlign w:val="center"/>
                  <w:hideMark/>
                </w:tcPr>
                <w:p w14:paraId="3DB9399A" w14:textId="77777777" w:rsidR="00B173B3" w:rsidRPr="00B173B3" w:rsidRDefault="00B173B3" w:rsidP="00B173B3">
                  <w:pPr>
                    <w:spacing w:after="0" w:line="240" w:lineRule="auto"/>
                    <w:jc w:val="right"/>
                    <w:rPr>
                      <w:rFonts w:ascii="Times New Roman" w:eastAsia="Times New Roman" w:hAnsi="Times New Roman" w:cs="Times New Roman"/>
                      <w:b/>
                      <w:bCs/>
                      <w:kern w:val="0"/>
                      <w:lang w:eastAsia="en-IN"/>
                      <w14:ligatures w14:val="none"/>
                    </w:rPr>
                  </w:pPr>
                  <w:r w:rsidRPr="00B173B3">
                    <w:rPr>
                      <w:rFonts w:ascii="Times New Roman" w:eastAsia="Times New Roman" w:hAnsi="Times New Roman" w:cs="Times New Roman"/>
                      <w:b/>
                      <w:bCs/>
                      <w:kern w:val="0"/>
                      <w:lang w:eastAsia="en-IN"/>
                      <w14:ligatures w14:val="none"/>
                    </w:rPr>
                    <w:t>New Target</w:t>
                  </w:r>
                </w:p>
              </w:tc>
              <w:tc>
                <w:tcPr>
                  <w:tcW w:w="0" w:type="auto"/>
                  <w:vAlign w:val="center"/>
                  <w:hideMark/>
                </w:tcPr>
                <w:p w14:paraId="05E3ADE1" w14:textId="77777777" w:rsidR="00B173B3" w:rsidRPr="00B173B3" w:rsidRDefault="00B173B3" w:rsidP="00B173B3">
                  <w:pPr>
                    <w:spacing w:after="0" w:line="240" w:lineRule="auto"/>
                    <w:jc w:val="right"/>
                    <w:rPr>
                      <w:rFonts w:ascii="Times New Roman" w:eastAsia="Times New Roman" w:hAnsi="Times New Roman" w:cs="Times New Roman"/>
                      <w:b/>
                      <w:bCs/>
                      <w:kern w:val="0"/>
                      <w:lang w:eastAsia="en-IN"/>
                      <w14:ligatures w14:val="none"/>
                    </w:rPr>
                  </w:pPr>
                  <w:r w:rsidRPr="00B173B3">
                    <w:rPr>
                      <w:rFonts w:ascii="Times New Roman" w:eastAsia="Times New Roman" w:hAnsi="Times New Roman" w:cs="Times New Roman"/>
                      <w:b/>
                      <w:bCs/>
                      <w:kern w:val="0"/>
                      <w:lang w:eastAsia="en-IN"/>
                      <w14:ligatures w14:val="none"/>
                    </w:rPr>
                    <w:t>Net Reduction</w:t>
                  </w:r>
                </w:p>
              </w:tc>
            </w:tr>
            <w:tr w:rsidR="00B173B3" w:rsidRPr="00B173B3" w14:paraId="19BD54E3" w14:textId="77777777">
              <w:trPr>
                <w:tblCellSpacing w:w="15" w:type="dxa"/>
              </w:trPr>
              <w:tc>
                <w:tcPr>
                  <w:tcW w:w="0" w:type="auto"/>
                  <w:vAlign w:val="center"/>
                  <w:hideMark/>
                </w:tcPr>
                <w:p w14:paraId="2669F983" w14:textId="77777777" w:rsidR="00B173B3" w:rsidRPr="00B173B3" w:rsidRDefault="00B173B3" w:rsidP="00B173B3">
                  <w:pPr>
                    <w:spacing w:after="0" w:line="240" w:lineRule="auto"/>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Southeast Asia Supply Corridor</w:t>
                  </w:r>
                </w:p>
              </w:tc>
              <w:tc>
                <w:tcPr>
                  <w:tcW w:w="0" w:type="auto"/>
                  <w:vAlign w:val="center"/>
                  <w:hideMark/>
                </w:tcPr>
                <w:p w14:paraId="4A95CF89"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90%</w:t>
                  </w:r>
                </w:p>
              </w:tc>
              <w:tc>
                <w:tcPr>
                  <w:tcW w:w="0" w:type="auto"/>
                  <w:vAlign w:val="center"/>
                  <w:hideMark/>
                </w:tcPr>
                <w:p w14:paraId="70479667"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58–63%</w:t>
                  </w:r>
                </w:p>
              </w:tc>
              <w:tc>
                <w:tcPr>
                  <w:tcW w:w="0" w:type="auto"/>
                  <w:vAlign w:val="center"/>
                  <w:hideMark/>
                </w:tcPr>
                <w:p w14:paraId="0561F33E" w14:textId="77777777" w:rsidR="00B173B3" w:rsidRPr="00B173B3" w:rsidRDefault="00B173B3" w:rsidP="00B173B3">
                  <w:pPr>
                    <w:spacing w:after="0" w:line="240" w:lineRule="auto"/>
                    <w:jc w:val="right"/>
                    <w:rPr>
                      <w:rFonts w:ascii="Times New Roman" w:eastAsia="Times New Roman" w:hAnsi="Times New Roman" w:cs="Times New Roman"/>
                      <w:kern w:val="0"/>
                      <w:lang w:eastAsia="en-IN"/>
                      <w14:ligatures w14:val="none"/>
                    </w:rPr>
                  </w:pPr>
                  <w:r w:rsidRPr="00B173B3">
                    <w:rPr>
                      <w:rFonts w:ascii="Times New Roman" w:eastAsia="Times New Roman" w:hAnsi="Times New Roman" w:cs="Times New Roman"/>
                      <w:kern w:val="0"/>
                      <w:lang w:eastAsia="en-IN"/>
                      <w14:ligatures w14:val="none"/>
                    </w:rPr>
                    <w:t>27–32% reduction</w:t>
                  </w:r>
                </w:p>
              </w:tc>
            </w:tr>
          </w:tbl>
          <w:p w14:paraId="20A9559B" w14:textId="341BC5AD" w:rsidR="00B173B3" w:rsidRPr="00B173B3" w:rsidRDefault="00B173B3" w:rsidP="00B173B3">
            <w:pPr>
              <w:rPr>
                <w:b/>
                <w:bCs/>
              </w:rPr>
            </w:pPr>
          </w:p>
        </w:tc>
        <w:tc>
          <w:tcPr>
            <w:tcW w:w="0" w:type="auto"/>
            <w:vAlign w:val="center"/>
          </w:tcPr>
          <w:p w14:paraId="1B45EACF" w14:textId="4C7809C6" w:rsidR="00B173B3" w:rsidRPr="00B173B3" w:rsidRDefault="00B173B3" w:rsidP="00B173B3">
            <w:pPr>
              <w:rPr>
                <w:b/>
                <w:bCs/>
              </w:rPr>
            </w:pPr>
          </w:p>
        </w:tc>
        <w:tc>
          <w:tcPr>
            <w:tcW w:w="0" w:type="auto"/>
            <w:vAlign w:val="center"/>
          </w:tcPr>
          <w:p w14:paraId="644DD652" w14:textId="13BCC902" w:rsidR="00B173B3" w:rsidRPr="00B173B3" w:rsidRDefault="00B173B3" w:rsidP="00B173B3">
            <w:pPr>
              <w:rPr>
                <w:b/>
                <w:bCs/>
              </w:rPr>
            </w:pPr>
          </w:p>
        </w:tc>
        <w:tc>
          <w:tcPr>
            <w:tcW w:w="0" w:type="auto"/>
            <w:vAlign w:val="center"/>
          </w:tcPr>
          <w:p w14:paraId="192400CD" w14:textId="0D9B23E5" w:rsidR="00B173B3" w:rsidRPr="00B173B3" w:rsidRDefault="00B173B3" w:rsidP="00B173B3">
            <w:pPr>
              <w:rPr>
                <w:b/>
                <w:bCs/>
              </w:rPr>
            </w:pPr>
          </w:p>
        </w:tc>
      </w:tr>
      <w:tr w:rsidR="00B173B3" w:rsidRPr="00B173B3" w14:paraId="4E04215F" w14:textId="77777777" w:rsidTr="00B173B3">
        <w:trPr>
          <w:tblCellSpacing w:w="15" w:type="dxa"/>
        </w:trPr>
        <w:tc>
          <w:tcPr>
            <w:tcW w:w="0" w:type="auto"/>
            <w:vAlign w:val="center"/>
          </w:tcPr>
          <w:p w14:paraId="3F1FA3CD" w14:textId="4A00E770" w:rsidR="00B173B3" w:rsidRPr="00B173B3" w:rsidRDefault="00B173B3" w:rsidP="00B173B3"/>
        </w:tc>
        <w:tc>
          <w:tcPr>
            <w:tcW w:w="0" w:type="auto"/>
            <w:vAlign w:val="center"/>
          </w:tcPr>
          <w:p w14:paraId="3BDBC019" w14:textId="0D3BCBAA" w:rsidR="00B173B3" w:rsidRPr="00B173B3" w:rsidRDefault="00B173B3" w:rsidP="00B173B3"/>
        </w:tc>
        <w:tc>
          <w:tcPr>
            <w:tcW w:w="0" w:type="auto"/>
            <w:vAlign w:val="center"/>
          </w:tcPr>
          <w:p w14:paraId="786543A3" w14:textId="1BA111FD" w:rsidR="00B173B3" w:rsidRPr="00B173B3" w:rsidRDefault="00B173B3" w:rsidP="00B173B3"/>
        </w:tc>
        <w:tc>
          <w:tcPr>
            <w:tcW w:w="0" w:type="auto"/>
            <w:vAlign w:val="center"/>
          </w:tcPr>
          <w:p w14:paraId="5FE0CC22" w14:textId="287B4209" w:rsidR="00B173B3" w:rsidRPr="00B173B3" w:rsidRDefault="00B173B3" w:rsidP="00B173B3"/>
        </w:tc>
      </w:tr>
    </w:tbl>
    <w:p w14:paraId="0F811E5E" w14:textId="77777777" w:rsidR="00B173B3" w:rsidRDefault="00B173B3" w:rsidP="00B173B3">
      <w:r w:rsidRPr="00B173B3">
        <w:t>COST ADVANTAGE PROJECTION FROM ADDING DELTA INTO RBO PROCUREMENT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4226"/>
        <w:gridCol w:w="2750"/>
      </w:tblGrid>
      <w:tr w:rsidR="00B173B3" w:rsidRPr="00B173B3" w14:paraId="59C8F4DF" w14:textId="77777777" w:rsidTr="0024749E">
        <w:trPr>
          <w:tblHeader/>
          <w:tblCellSpacing w:w="15" w:type="dxa"/>
        </w:trPr>
        <w:tc>
          <w:tcPr>
            <w:tcW w:w="0" w:type="auto"/>
            <w:vAlign w:val="center"/>
            <w:hideMark/>
          </w:tcPr>
          <w:p w14:paraId="09507771" w14:textId="77777777" w:rsidR="00B173B3" w:rsidRPr="00B173B3" w:rsidRDefault="00B173B3" w:rsidP="0024749E">
            <w:pPr>
              <w:rPr>
                <w:b/>
                <w:bCs/>
              </w:rPr>
            </w:pPr>
            <w:r w:rsidRPr="00B173B3">
              <w:rPr>
                <w:b/>
                <w:bCs/>
              </w:rPr>
              <w:t>Region of Delta Presence</w:t>
            </w:r>
          </w:p>
        </w:tc>
        <w:tc>
          <w:tcPr>
            <w:tcW w:w="0" w:type="auto"/>
            <w:vAlign w:val="center"/>
            <w:hideMark/>
          </w:tcPr>
          <w:p w14:paraId="6F02E88A" w14:textId="77777777" w:rsidR="00B173B3" w:rsidRPr="00B173B3" w:rsidRDefault="00B173B3" w:rsidP="0024749E">
            <w:pPr>
              <w:rPr>
                <w:b/>
                <w:bCs/>
              </w:rPr>
            </w:pPr>
            <w:r w:rsidRPr="00B173B3">
              <w:rPr>
                <w:b/>
                <w:bCs/>
              </w:rPr>
              <w:t>Advantage Driver</w:t>
            </w:r>
          </w:p>
        </w:tc>
        <w:tc>
          <w:tcPr>
            <w:tcW w:w="0" w:type="auto"/>
            <w:vAlign w:val="center"/>
            <w:hideMark/>
          </w:tcPr>
          <w:p w14:paraId="5D9FE2B4" w14:textId="77777777" w:rsidR="00B173B3" w:rsidRPr="00B173B3" w:rsidRDefault="00B173B3" w:rsidP="0024749E">
            <w:pPr>
              <w:rPr>
                <w:b/>
                <w:bCs/>
              </w:rPr>
            </w:pPr>
            <w:r w:rsidRPr="00B173B3">
              <w:rPr>
                <w:b/>
                <w:bCs/>
              </w:rPr>
              <w:t>Estimated Annual Cost Benefit (USD)</w:t>
            </w:r>
          </w:p>
        </w:tc>
      </w:tr>
      <w:tr w:rsidR="00B173B3" w:rsidRPr="00B173B3" w14:paraId="35C68881" w14:textId="77777777" w:rsidTr="0024749E">
        <w:trPr>
          <w:tblCellSpacing w:w="15" w:type="dxa"/>
        </w:trPr>
        <w:tc>
          <w:tcPr>
            <w:tcW w:w="0" w:type="auto"/>
            <w:vAlign w:val="center"/>
            <w:hideMark/>
          </w:tcPr>
          <w:p w14:paraId="0D66F4EB" w14:textId="77777777" w:rsidR="00B173B3" w:rsidRPr="00B173B3" w:rsidRDefault="00B173B3" w:rsidP="0024749E">
            <w:r w:rsidRPr="00B173B3">
              <w:t>India</w:t>
            </w:r>
          </w:p>
        </w:tc>
        <w:tc>
          <w:tcPr>
            <w:tcW w:w="0" w:type="auto"/>
            <w:vAlign w:val="center"/>
            <w:hideMark/>
          </w:tcPr>
          <w:p w14:paraId="41CE900C" w14:textId="77777777" w:rsidR="00B173B3" w:rsidRPr="00B173B3" w:rsidRDefault="00B173B3" w:rsidP="0024749E">
            <w:r w:rsidRPr="00B173B3">
              <w:t>20–30% cheaper rice-bran input cost, scaling extraction infra</w:t>
            </w:r>
          </w:p>
        </w:tc>
        <w:tc>
          <w:tcPr>
            <w:tcW w:w="0" w:type="auto"/>
            <w:vAlign w:val="center"/>
            <w:hideMark/>
          </w:tcPr>
          <w:p w14:paraId="2C78EA70" w14:textId="77777777" w:rsidR="00B173B3" w:rsidRPr="00B173B3" w:rsidRDefault="00B173B3" w:rsidP="0024749E">
            <w:r w:rsidRPr="00B173B3">
              <w:t>40,000 – 70,000</w:t>
            </w:r>
          </w:p>
        </w:tc>
      </w:tr>
      <w:tr w:rsidR="00B173B3" w:rsidRPr="00B173B3" w14:paraId="41184E0F" w14:textId="77777777" w:rsidTr="0024749E">
        <w:trPr>
          <w:tblCellSpacing w:w="15" w:type="dxa"/>
        </w:trPr>
        <w:tc>
          <w:tcPr>
            <w:tcW w:w="0" w:type="auto"/>
            <w:vAlign w:val="center"/>
            <w:hideMark/>
          </w:tcPr>
          <w:p w14:paraId="1C6F9116" w14:textId="77777777" w:rsidR="00B173B3" w:rsidRPr="00B173B3" w:rsidRDefault="00B173B3" w:rsidP="0024749E">
            <w:r w:rsidRPr="00B173B3">
              <w:t>Thailand + Indonesia</w:t>
            </w:r>
          </w:p>
        </w:tc>
        <w:tc>
          <w:tcPr>
            <w:tcW w:w="0" w:type="auto"/>
            <w:vAlign w:val="center"/>
            <w:hideMark/>
          </w:tcPr>
          <w:p w14:paraId="7F1DB2C2" w14:textId="77777777" w:rsidR="00B173B3" w:rsidRPr="00B173B3" w:rsidRDefault="00B173B3" w:rsidP="0024749E">
            <w:r w:rsidRPr="00B173B3">
              <w:t>Port efficiency + strong milling ecosystem</w:t>
            </w:r>
          </w:p>
        </w:tc>
        <w:tc>
          <w:tcPr>
            <w:tcW w:w="0" w:type="auto"/>
            <w:vAlign w:val="center"/>
            <w:hideMark/>
          </w:tcPr>
          <w:p w14:paraId="315FBE67" w14:textId="77777777" w:rsidR="00B173B3" w:rsidRPr="00B173B3" w:rsidRDefault="00B173B3" w:rsidP="0024749E">
            <w:r w:rsidRPr="00B173B3">
              <w:t>12,000 – 28,000</w:t>
            </w:r>
          </w:p>
        </w:tc>
      </w:tr>
      <w:tr w:rsidR="00B173B3" w:rsidRPr="00B173B3" w14:paraId="5C431BAD" w14:textId="77777777" w:rsidTr="0024749E">
        <w:trPr>
          <w:tblCellSpacing w:w="15" w:type="dxa"/>
        </w:trPr>
        <w:tc>
          <w:tcPr>
            <w:tcW w:w="0" w:type="auto"/>
            <w:vAlign w:val="center"/>
            <w:hideMark/>
          </w:tcPr>
          <w:p w14:paraId="5C776AB7" w14:textId="77777777" w:rsidR="00B173B3" w:rsidRPr="00B173B3" w:rsidRDefault="00B173B3" w:rsidP="0024749E">
            <w:r w:rsidRPr="00B173B3">
              <w:t>China</w:t>
            </w:r>
          </w:p>
        </w:tc>
        <w:tc>
          <w:tcPr>
            <w:tcW w:w="0" w:type="auto"/>
            <w:vAlign w:val="center"/>
            <w:hideMark/>
          </w:tcPr>
          <w:p w14:paraId="6C45E371" w14:textId="77777777" w:rsidR="00B173B3" w:rsidRPr="00B173B3" w:rsidRDefault="00B173B3" w:rsidP="0024749E">
            <w:r w:rsidRPr="00B173B3">
              <w:t>Industrial solvent extraction scale for pricing leverage</w:t>
            </w:r>
          </w:p>
        </w:tc>
        <w:tc>
          <w:tcPr>
            <w:tcW w:w="0" w:type="auto"/>
            <w:vAlign w:val="center"/>
            <w:hideMark/>
          </w:tcPr>
          <w:p w14:paraId="503354A5" w14:textId="77777777" w:rsidR="00B173B3" w:rsidRPr="00B173B3" w:rsidRDefault="00B173B3" w:rsidP="0024749E">
            <w:r w:rsidRPr="00B173B3">
              <w:t>18,000 – 35,000</w:t>
            </w:r>
          </w:p>
        </w:tc>
      </w:tr>
      <w:tr w:rsidR="00B173B3" w:rsidRPr="00B173B3" w14:paraId="6757F02A" w14:textId="77777777" w:rsidTr="0024749E">
        <w:trPr>
          <w:tblCellSpacing w:w="15" w:type="dxa"/>
        </w:trPr>
        <w:tc>
          <w:tcPr>
            <w:tcW w:w="0" w:type="auto"/>
            <w:vAlign w:val="center"/>
            <w:hideMark/>
          </w:tcPr>
          <w:p w14:paraId="15899E9B" w14:textId="77777777" w:rsidR="00B173B3" w:rsidRPr="00B173B3" w:rsidRDefault="00B173B3" w:rsidP="0024749E">
            <w:r w:rsidRPr="00B173B3">
              <w:t>Blended Advantage</w:t>
            </w:r>
          </w:p>
        </w:tc>
        <w:tc>
          <w:tcPr>
            <w:tcW w:w="0" w:type="auto"/>
            <w:vAlign w:val="center"/>
            <w:hideMark/>
          </w:tcPr>
          <w:p w14:paraId="5B966338" w14:textId="77777777" w:rsidR="00B173B3" w:rsidRPr="00B173B3" w:rsidRDefault="00B173B3" w:rsidP="0024749E">
            <w:r w:rsidRPr="00B173B3">
              <w:t>Supplier competition + input cost reduction + logistics resilience</w:t>
            </w:r>
          </w:p>
        </w:tc>
        <w:tc>
          <w:tcPr>
            <w:tcW w:w="0" w:type="auto"/>
            <w:vAlign w:val="center"/>
            <w:hideMark/>
          </w:tcPr>
          <w:p w14:paraId="33693D0D" w14:textId="77777777" w:rsidR="00B173B3" w:rsidRPr="00B173B3" w:rsidRDefault="00B173B3" w:rsidP="0024749E">
            <w:r w:rsidRPr="00B173B3">
              <w:t>90,000 – 150,000</w:t>
            </w:r>
          </w:p>
        </w:tc>
      </w:tr>
    </w:tbl>
    <w:p w14:paraId="2E2CD768" w14:textId="77777777" w:rsidR="00B173B3" w:rsidRPr="00B173B3" w:rsidRDefault="00B173B3" w:rsidP="00B173B3"/>
    <w:p w14:paraId="5BAF984F" w14:textId="77777777" w:rsidR="00B173B3" w:rsidRPr="00B173B3" w:rsidRDefault="00B173B3" w:rsidP="00B173B3">
      <w:r w:rsidRPr="00B173B3">
        <w:t>STRATEGIC OUTCOME</w:t>
      </w:r>
    </w:p>
    <w:p w14:paraId="7A72E563" w14:textId="77777777" w:rsidR="00B173B3" w:rsidRPr="00B173B3" w:rsidRDefault="00B173B3" w:rsidP="00B173B3">
      <w:pPr>
        <w:numPr>
          <w:ilvl w:val="0"/>
          <w:numId w:val="1"/>
        </w:numPr>
      </w:pPr>
      <w:r w:rsidRPr="00B173B3">
        <w:t>Reduce single-supplier concentration from 90% to 62% in Phase 1</w:t>
      </w:r>
    </w:p>
    <w:p w14:paraId="24D70D3D" w14:textId="77777777" w:rsidR="00B173B3" w:rsidRPr="00B173B3" w:rsidRDefault="00B173B3" w:rsidP="00B173B3">
      <w:pPr>
        <w:numPr>
          <w:ilvl w:val="0"/>
          <w:numId w:val="1"/>
        </w:numPr>
      </w:pPr>
      <w:r w:rsidRPr="00B173B3">
        <w:t>Activate 38% of spend via an incumbent supplier (Delta) with multi-region presence</w:t>
      </w:r>
    </w:p>
    <w:p w14:paraId="6923A3D1" w14:textId="77777777" w:rsidR="00B173B3" w:rsidRPr="00B173B3" w:rsidRDefault="00B173B3" w:rsidP="00B173B3">
      <w:pPr>
        <w:numPr>
          <w:ilvl w:val="0"/>
          <w:numId w:val="1"/>
        </w:numPr>
      </w:pPr>
      <w:r w:rsidRPr="00B173B3">
        <w:t>Improve pricing leverage through supplier competition</w:t>
      </w:r>
    </w:p>
    <w:p w14:paraId="17506DC8" w14:textId="77777777" w:rsidR="00B173B3" w:rsidRPr="00B173B3" w:rsidRDefault="00B173B3" w:rsidP="00B173B3">
      <w:pPr>
        <w:numPr>
          <w:ilvl w:val="0"/>
          <w:numId w:val="1"/>
        </w:numPr>
      </w:pPr>
      <w:r w:rsidRPr="00B173B3">
        <w:t>Reduce Southeast Asia logistics corridor risk by ~30%</w:t>
      </w:r>
    </w:p>
    <w:p w14:paraId="039057DE" w14:textId="77777777" w:rsidR="00B173B3" w:rsidRPr="00B173B3" w:rsidRDefault="00B173B3" w:rsidP="00B173B3">
      <w:pPr>
        <w:numPr>
          <w:ilvl w:val="0"/>
          <w:numId w:val="1"/>
        </w:numPr>
      </w:pPr>
      <w:r w:rsidRPr="00B173B3">
        <w:lastRenderedPageBreak/>
        <w:t>Achieve an estimated blended annual cost advantage of USD 90K–150K while improving supply continuity resilience</w:t>
      </w:r>
    </w:p>
    <w:p w14:paraId="53879AB1" w14:textId="77777777" w:rsidR="00B173B3" w:rsidRPr="00B173B3" w:rsidRDefault="00B173B3" w:rsidP="00B173B3">
      <w:r w:rsidRPr="00B173B3">
        <w:t>NEXT STEPS</w:t>
      </w:r>
    </w:p>
    <w:p w14:paraId="1446573D" w14:textId="77777777" w:rsidR="00B173B3" w:rsidRPr="00B173B3" w:rsidRDefault="00B173B3" w:rsidP="00B173B3">
      <w:pPr>
        <w:numPr>
          <w:ilvl w:val="0"/>
          <w:numId w:val="2"/>
        </w:numPr>
      </w:pPr>
      <w:r w:rsidRPr="00B173B3">
        <w:t>Activate RBO procurement with Delta Edible Oils Consortium</w:t>
      </w:r>
    </w:p>
    <w:p w14:paraId="698D77F4" w14:textId="77777777" w:rsidR="00B173B3" w:rsidRPr="00B173B3" w:rsidRDefault="00B173B3" w:rsidP="00B173B3">
      <w:pPr>
        <w:numPr>
          <w:ilvl w:val="0"/>
          <w:numId w:val="2"/>
        </w:numPr>
      </w:pPr>
      <w:r w:rsidRPr="00B173B3">
        <w:t>Initiate 8–</w:t>
      </w:r>
      <w:proofErr w:type="gramStart"/>
      <w:r w:rsidRPr="00B173B3">
        <w:t>12 week</w:t>
      </w:r>
      <w:proofErr w:type="gramEnd"/>
      <w:r w:rsidRPr="00B173B3">
        <w:t xml:space="preserve"> pilot allocations</w:t>
      </w:r>
    </w:p>
    <w:p w14:paraId="733FBFB4" w14:textId="77777777" w:rsidR="00B173B3" w:rsidRPr="00B173B3" w:rsidRDefault="00B173B3" w:rsidP="00B173B3">
      <w:pPr>
        <w:numPr>
          <w:ilvl w:val="0"/>
          <w:numId w:val="2"/>
        </w:numPr>
      </w:pPr>
      <w:r w:rsidRPr="00B173B3">
        <w:t>Benchmark pricing and delivery quarterly</w:t>
      </w:r>
    </w:p>
    <w:p w14:paraId="6FAA4417" w14:textId="77777777" w:rsidR="00B173B3" w:rsidRPr="00B173B3" w:rsidRDefault="00B173B3" w:rsidP="00B173B3">
      <w:pPr>
        <w:numPr>
          <w:ilvl w:val="0"/>
          <w:numId w:val="2"/>
        </w:numPr>
      </w:pPr>
      <w:r w:rsidRPr="00B173B3">
        <w:t>Continue phased reduction of SEA concentration based on pilot performance</w:t>
      </w:r>
    </w:p>
    <w:p w14:paraId="507B8468" w14:textId="77777777" w:rsidR="002D0A83" w:rsidRDefault="002D0A83"/>
    <w:sectPr w:rsidR="002D0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4045"/>
    <w:multiLevelType w:val="multilevel"/>
    <w:tmpl w:val="950A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355794"/>
    <w:multiLevelType w:val="multilevel"/>
    <w:tmpl w:val="0E2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700127">
    <w:abstractNumId w:val="1"/>
  </w:num>
  <w:num w:numId="2" w16cid:durableId="18228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3B3"/>
    <w:rsid w:val="002D0A83"/>
    <w:rsid w:val="00893A3B"/>
    <w:rsid w:val="00A863B9"/>
    <w:rsid w:val="00B173B3"/>
    <w:rsid w:val="00D23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E90B6"/>
  <w15:chartTrackingRefBased/>
  <w15:docId w15:val="{089EC492-8194-41CF-A56F-9A7E57261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3B3"/>
    <w:rPr>
      <w:rFonts w:eastAsiaTheme="majorEastAsia" w:cstheme="majorBidi"/>
      <w:color w:val="272727" w:themeColor="text1" w:themeTint="D8"/>
    </w:rPr>
  </w:style>
  <w:style w:type="paragraph" w:styleId="Title">
    <w:name w:val="Title"/>
    <w:basedOn w:val="Normal"/>
    <w:next w:val="Normal"/>
    <w:link w:val="TitleChar"/>
    <w:uiPriority w:val="10"/>
    <w:qFormat/>
    <w:rsid w:val="00B17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3B3"/>
    <w:pPr>
      <w:spacing w:before="160"/>
      <w:jc w:val="center"/>
    </w:pPr>
    <w:rPr>
      <w:i/>
      <w:iCs/>
      <w:color w:val="404040" w:themeColor="text1" w:themeTint="BF"/>
    </w:rPr>
  </w:style>
  <w:style w:type="character" w:customStyle="1" w:styleId="QuoteChar">
    <w:name w:val="Quote Char"/>
    <w:basedOn w:val="DefaultParagraphFont"/>
    <w:link w:val="Quote"/>
    <w:uiPriority w:val="29"/>
    <w:rsid w:val="00B173B3"/>
    <w:rPr>
      <w:i/>
      <w:iCs/>
      <w:color w:val="404040" w:themeColor="text1" w:themeTint="BF"/>
    </w:rPr>
  </w:style>
  <w:style w:type="paragraph" w:styleId="ListParagraph">
    <w:name w:val="List Paragraph"/>
    <w:basedOn w:val="Normal"/>
    <w:uiPriority w:val="34"/>
    <w:qFormat/>
    <w:rsid w:val="00B173B3"/>
    <w:pPr>
      <w:ind w:left="720"/>
      <w:contextualSpacing/>
    </w:pPr>
  </w:style>
  <w:style w:type="character" w:styleId="IntenseEmphasis">
    <w:name w:val="Intense Emphasis"/>
    <w:basedOn w:val="DefaultParagraphFont"/>
    <w:uiPriority w:val="21"/>
    <w:qFormat/>
    <w:rsid w:val="00B173B3"/>
    <w:rPr>
      <w:i/>
      <w:iCs/>
      <w:color w:val="0F4761" w:themeColor="accent1" w:themeShade="BF"/>
    </w:rPr>
  </w:style>
  <w:style w:type="paragraph" w:styleId="IntenseQuote">
    <w:name w:val="Intense Quote"/>
    <w:basedOn w:val="Normal"/>
    <w:next w:val="Normal"/>
    <w:link w:val="IntenseQuoteChar"/>
    <w:uiPriority w:val="30"/>
    <w:qFormat/>
    <w:rsid w:val="00B17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3B3"/>
    <w:rPr>
      <w:i/>
      <w:iCs/>
      <w:color w:val="0F4761" w:themeColor="accent1" w:themeShade="BF"/>
    </w:rPr>
  </w:style>
  <w:style w:type="character" w:styleId="IntenseReference">
    <w:name w:val="Intense Reference"/>
    <w:basedOn w:val="DefaultParagraphFont"/>
    <w:uiPriority w:val="32"/>
    <w:qFormat/>
    <w:rsid w:val="00B17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655</Words>
  <Characters>2155</Characters>
  <Application>Microsoft Office Word</Application>
  <DocSecurity>0</DocSecurity>
  <Lines>86</Lines>
  <Paragraphs>108</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Purnima Jagannathan</dc:creator>
  <cp:keywords/>
  <dc:description/>
  <cp:lastModifiedBy>Purnima Jagannathan</cp:lastModifiedBy>
  <cp:revision>1</cp:revision>
  <dcterms:created xsi:type="dcterms:W3CDTF">2025-12-27T15:36:00Z</dcterms:created>
  <dcterms:modified xsi:type="dcterms:W3CDTF">2025-12-27T15:38:00Z</dcterms:modified>
</cp:coreProperties>
</file>