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IT HARDWARE DIVERSIFICATION</w:t>
      </w:r>
    </w:p>
    <w:p>
      <w:pPr>
        <w:jc w:val="center"/>
      </w:pPr>
      <w:r>
        <w:rPr>
          <w:i/>
          <w:sz w:val="22"/>
        </w:rPr>
        <w:t>Supplier Concentration Analysis &amp; Diversification Strategy</w:t>
      </w:r>
    </w:p>
    <w:p>
      <w:pPr>
        <w:jc w:val="center"/>
      </w:pPr>
      <w:r>
        <w:rPr>
          <w:b/>
          <w:sz w:val="24"/>
        </w:rPr>
        <w:t>Total Category Spend 2025: USD 5,529,600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Dell Technologies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50% = USD 2,754,000</w:t>
            </w:r>
          </w:p>
        </w:tc>
      </w:tr>
      <w:tr>
        <w:tc>
          <w:tcPr>
            <w:tcW w:type="dxa" w:w="5040"/>
          </w:tcPr>
          <w:p>
            <w:r>
              <w:rPr>
                <w:sz w:val="20"/>
              </w:rPr>
              <w:t>Current IT Hardware Buying from Supplier</w:t>
            </w:r>
          </w:p>
        </w:tc>
        <w:tc>
          <w:tcPr>
            <w:tcW w:type="dxa" w:w="5040"/>
          </w:tcPr>
          <w:p>
            <w:r>
              <w:rPr>
                <w:sz w:val="20"/>
              </w:rPr>
              <w:t>Yes</w:t>
            </w:r>
          </w:p>
        </w:tc>
      </w:tr>
      <w:tr>
        <w:tc>
          <w:tcPr>
            <w:tcW w:type="dxa" w:w="5040"/>
          </w:tcPr>
          <w:p>
            <w:r>
              <w:rPr>
                <w:sz w:val="20"/>
              </w:rPr>
              <w:t>Alternate Supplier for IT Hardware</w:t>
            </w:r>
          </w:p>
        </w:tc>
        <w:tc>
          <w:tcPr>
            <w:tcW w:type="dxa" w:w="5040"/>
          </w:tcPr>
          <w:p>
            <w:r>
              <w:rPr>
                <w:sz w:val="20"/>
              </w:rPr>
              <w:t>Apple Inc</w:t>
            </w:r>
          </w:p>
        </w:tc>
      </w:tr>
      <w:tr>
        <w:tc>
          <w:tcPr>
            <w:tcW w:type="dxa" w:w="5040"/>
          </w:tcPr>
          <w:p>
            <w:r>
              <w:rPr>
                <w:sz w:val="20"/>
              </w:rPr>
              <w:t>Key Risk</w:t>
            </w:r>
          </w:p>
        </w:tc>
        <w:tc>
          <w:tcPr>
            <w:tcW w:type="dxa" w:w="5040"/>
          </w:tcPr>
          <w:p>
            <w:r>
              <w:rPr>
                <w:sz w:val="20"/>
              </w:rPr>
              <w:t>Moderate concentration in Americas with 3 suppliers</w:t>
            </w:r>
          </w:p>
        </w:tc>
      </w:tr>
    </w:tbl>
    <w:p/>
    <w:p>
      <w:pPr>
        <w:pStyle w:val="Heading3"/>
      </w:pPr>
      <w:r>
        <w:rPr>
          <w:color w:val="003366"/>
        </w:rPr>
        <w:t>OVERALL RISK STATEMENT</w:t>
      </w:r>
    </w:p>
    <w:p>
      <w:pPr>
        <w:spacing w:after="240"/>
      </w:pPr>
      <w:r>
        <w:t xml:space="preserve">Our current it hardware procurement involves 3 suppliers, with Dell Technologies as the dominant supplier at 50% of total category spend (USD 2,754,000 of USD 5,529,600 in 2025). Other suppliers include: HP Inc (27%), Lenovo (23%). All suppliers operate from USA. We currently do not source it hardware from Apple Inc, an already approved IT Hardware supplier in our system with operational presence across USA. </w:t>
        <w:br/>
        <w:br/>
        <w:t>This creates a geographic concentration risk. It is recommended to activate it hardware with Apple Inc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Dell Technologies</w:t>
            </w:r>
          </w:p>
        </w:tc>
        <w:tc>
          <w:tcPr>
            <w:tcW w:type="dxa" w:w="2520"/>
          </w:tcPr>
          <w:p>
            <w:r>
              <w:rPr>
                <w:sz w:val="20"/>
              </w:rPr>
              <w:t>50%</w:t>
            </w:r>
          </w:p>
        </w:tc>
        <w:tc>
          <w:tcPr>
            <w:tcW w:type="dxa" w:w="2520"/>
          </w:tcPr>
          <w:p>
            <w:r>
              <w:rPr>
                <w:sz w:val="20"/>
              </w:rPr>
              <w:t>40%</w:t>
            </w:r>
          </w:p>
        </w:tc>
        <w:tc>
          <w:tcPr>
            <w:tcW w:type="dxa" w:w="2520"/>
          </w:tcPr>
          <w:p>
            <w:r>
              <w:rPr>
                <w:sz w:val="20"/>
              </w:rPr>
              <w:t>50% → 40% = 19.7% reduction</w:t>
            </w:r>
          </w:p>
        </w:tc>
      </w:tr>
      <w:tr>
        <w:tc>
          <w:tcPr>
            <w:tcW w:type="dxa" w:w="2520"/>
          </w:tcPr>
          <w:p>
            <w:r>
              <w:rPr>
                <w:sz w:val="20"/>
              </w:rPr>
              <w:t>Apple Inc</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77%</w:t>
            </w:r>
          </w:p>
        </w:tc>
        <w:tc>
          <w:tcPr>
            <w:tcW w:type="dxa" w:w="2520"/>
          </w:tcPr>
          <w:p>
            <w:r>
              <w:rPr>
                <w:sz w:val="20"/>
              </w:rPr>
              <w:t>47–52%</w:t>
            </w:r>
          </w:p>
        </w:tc>
        <w:tc>
          <w:tcPr>
            <w:tcW w:type="dxa" w:w="2520"/>
          </w:tcPr>
          <w:p>
            <w:r>
              <w:rPr>
                <w:sz w:val="20"/>
              </w:rPr>
              <w:t>25–30%</w:t>
            </w:r>
          </w:p>
        </w:tc>
      </w:tr>
    </w:tbl>
    <w:p/>
    <w:p>
      <w:pPr>
        <w:pStyle w:val="Heading2"/>
      </w:pPr>
      <w:r>
        <w:rPr>
          <w:color w:val="003366"/>
        </w:rPr>
        <w:t>COST ADVANTAGE PROJECTION FROM ADDING APPLE INC INTO IT HARDWARE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Apple Inc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Manufacturing scale + component ecosystem integration</w:t>
            </w:r>
          </w:p>
        </w:tc>
        <w:tc>
          <w:tcPr>
            <w:tcW w:type="dxa" w:w="3360"/>
          </w:tcPr>
          <w:p>
            <w:r>
              <w:rPr>
                <w:sz w:val="20"/>
              </w:rPr>
              <w:t>$41,472 – $124,416</w:t>
            </w:r>
          </w:p>
        </w:tc>
      </w:tr>
      <w:tr>
        <w:tc>
          <w:tcPr>
            <w:tcW w:type="dxa" w:w="3360"/>
          </w:tcPr>
          <w:p>
            <w:r>
              <w:rPr>
                <w:sz w:val="20"/>
              </w:rPr>
              <w:t>Taiwan</w:t>
            </w:r>
          </w:p>
        </w:tc>
        <w:tc>
          <w:tcPr>
            <w:tcW w:type="dxa" w:w="3360"/>
          </w:tcPr>
          <w:p>
            <w:r>
              <w:rPr>
                <w:sz w:val="20"/>
              </w:rPr>
              <w:t>Advanced semiconductor manufacturing capabilities</w:t>
            </w:r>
          </w:p>
        </w:tc>
        <w:tc>
          <w:tcPr>
            <w:tcW w:type="dxa" w:w="3360"/>
          </w:tcPr>
          <w:p>
            <w:r>
              <w:rPr>
                <w:sz w:val="20"/>
              </w:rPr>
              <w:t>$41,472 – $124,416</w:t>
            </w:r>
          </w:p>
        </w:tc>
      </w:tr>
      <w:tr>
        <w:tc>
          <w:tcPr>
            <w:tcW w:type="dxa" w:w="3360"/>
          </w:tcPr>
          <w:p>
            <w:r>
              <w:rPr>
                <w:sz w:val="20"/>
              </w:rPr>
              <w:t>Vietnam</w:t>
            </w:r>
          </w:p>
        </w:tc>
        <w:tc>
          <w:tcPr>
            <w:tcW w:type="dxa" w:w="3360"/>
          </w:tcPr>
          <w:p>
            <w:r>
              <w:rPr>
                <w:sz w:val="20"/>
              </w:rPr>
              <w:t>Competitive labor costs + growing tech manufacturing</w:t>
            </w:r>
          </w:p>
        </w:tc>
        <w:tc>
          <w:tcPr>
            <w:tcW w:type="dxa" w:w="3360"/>
          </w:tcPr>
          <w:p>
            <w:r>
              <w:rPr>
                <w:sz w:val="20"/>
              </w:rPr>
              <w:t>$41,472 – $124,416</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$124,416 – $373,248</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3.0/4.0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$124,416 – $373,248</w:t>
            </w:r>
          </w:p>
        </w:tc>
      </w:tr>
      <w:tr>
        <w:tc>
          <w:tcPr>
            <w:tcW w:type="dxa" w:w="5040"/>
          </w:tcPr>
          <w:p>
            <w:r>
              <w:rPr>
                <w:sz w:val="20"/>
              </w:rPr>
              <w:t>Risk Reduction Value</w:t>
            </w:r>
          </w:p>
        </w:tc>
        <w:tc>
          <w:tcPr>
            <w:tcW w:type="dxa" w:w="5040"/>
          </w:tcPr>
          <w:p>
            <w:r>
              <w:rPr>
                <w:sz w:val="20"/>
              </w:rPr>
              <w:t>$76,032</w:t>
            </w:r>
          </w:p>
        </w:tc>
      </w:tr>
      <w:tr>
        <w:tc>
          <w:tcPr>
            <w:tcW w:type="dxa" w:w="5040"/>
          </w:tcPr>
          <w:p>
            <w:r>
              <w:rPr>
                <w:sz w:val="20"/>
              </w:rPr>
              <w:t>Implementation Cost</w:t>
            </w:r>
          </w:p>
        </w:tc>
        <w:tc>
          <w:tcPr>
            <w:tcW w:type="dxa" w:w="5040"/>
          </w:tcPr>
          <w:p>
            <w:r>
              <w:rPr>
                <w:sz w:val="20"/>
              </w:rPr>
              <w:t>$110,592</w:t>
            </w:r>
          </w:p>
        </w:tc>
      </w:tr>
      <w:tr>
        <w:tc>
          <w:tcPr>
            <w:tcW w:type="dxa" w:w="5040"/>
          </w:tcPr>
          <w:p>
            <w:r>
              <w:rPr>
                <w:sz w:val="20"/>
              </w:rPr>
              <w:t>ROI (First Year)</w:t>
            </w:r>
          </w:p>
        </w:tc>
        <w:tc>
          <w:tcPr>
            <w:tcW w:type="dxa" w:w="5040"/>
          </w:tcPr>
          <w:p>
            <w:r>
              <w:rPr>
                <w:sz w:val="20"/>
              </w:rPr>
              <w:t>81% – 306%</w:t>
            </w:r>
          </w:p>
        </w:tc>
      </w:tr>
      <w:tr>
        <w:tc>
          <w:tcPr>
            <w:tcW w:type="dxa" w:w="5040"/>
          </w:tcPr>
          <w:p>
            <w:r>
              <w:rPr>
                <w:sz w:val="20"/>
              </w:rPr>
              <w:t>Payback Period</w:t>
            </w:r>
          </w:p>
        </w:tc>
        <w:tc>
          <w:tcPr>
            <w:tcW w:type="dxa" w:w="5040"/>
          </w:tcPr>
          <w:p>
            <w:r>
              <w:rPr>
                <w:sz w:val="20"/>
              </w:rPr>
              <w:t>3.0 – 6.6 months</w:t>
            </w:r>
          </w:p>
        </w:tc>
      </w:tr>
      <w:tr>
        <w:tc>
          <w:tcPr>
            <w:tcW w:type="dxa" w:w="5040"/>
          </w:tcPr>
          <w:p>
            <w:r>
              <w:rPr>
                <w:sz w:val="20"/>
              </w:rPr>
              <w:t>3-Year Net Benefit</w:t>
            </w:r>
          </w:p>
        </w:tc>
        <w:tc>
          <w:tcPr>
            <w:tcW w:type="dxa" w:w="5040"/>
          </w:tcPr>
          <w:p>
            <w:r>
              <w:rPr>
                <w:sz w:val="20"/>
              </w:rPr>
              <w:t>$490,752 – $1,237,248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Dell Technologies</w:t>
            </w:r>
          </w:p>
        </w:tc>
        <w:tc>
          <w:tcPr>
            <w:tcW w:type="dxa" w:w="2016"/>
          </w:tcPr>
          <w:p>
            <w:r>
              <w:rPr>
                <w:sz w:val="20"/>
              </w:rPr>
              <w:t>$2,754,000</w:t>
            </w:r>
          </w:p>
        </w:tc>
        <w:tc>
          <w:tcPr>
            <w:tcW w:type="dxa" w:w="2016"/>
          </w:tcPr>
          <w:p>
            <w:r>
              <w:rPr>
                <w:sz w:val="20"/>
              </w:rPr>
              <w:t>4.8/5.0</w:t>
            </w:r>
          </w:p>
        </w:tc>
        <w:tc>
          <w:tcPr>
            <w:tcW w:type="dxa" w:w="2016"/>
          </w:tcPr>
          <w:p>
            <w:r>
              <w:rPr>
                <w:sz w:val="20"/>
              </w:rPr>
              <w:t>96%</w:t>
            </w:r>
          </w:p>
        </w:tc>
        <w:tc>
          <w:tcPr>
            <w:tcW w:type="dxa" w:w="2016"/>
          </w:tcPr>
          <w:p>
            <w:r>
              <w:rPr>
                <w:sz w:val="20"/>
              </w:rPr>
              <w:t>9.2/10</w:t>
            </w:r>
          </w:p>
        </w:tc>
      </w:tr>
      <w:tr>
        <w:tc>
          <w:tcPr>
            <w:tcW w:type="dxa" w:w="2016"/>
          </w:tcPr>
          <w:p>
            <w:r>
              <w:rPr>
                <w:sz w:val="20"/>
              </w:rPr>
              <w:t>HP Inc</w:t>
            </w:r>
          </w:p>
        </w:tc>
        <w:tc>
          <w:tcPr>
            <w:tcW w:type="dxa" w:w="2016"/>
          </w:tcPr>
          <w:p>
            <w:r>
              <w:rPr>
                <w:sz w:val="20"/>
              </w:rPr>
              <w:t>$1,479,600</w:t>
            </w:r>
          </w:p>
        </w:tc>
        <w:tc>
          <w:tcPr>
            <w:tcW w:type="dxa" w:w="2016"/>
          </w:tcPr>
          <w:p>
            <w:r>
              <w:rPr>
                <w:sz w:val="20"/>
              </w:rPr>
              <w:t>4.6/5.0</w:t>
            </w:r>
          </w:p>
        </w:tc>
        <w:tc>
          <w:tcPr>
            <w:tcW w:type="dxa" w:w="2016"/>
          </w:tcPr>
          <w:p>
            <w:r>
              <w:rPr>
                <w:sz w:val="20"/>
              </w:rPr>
              <w:t>94%</w:t>
            </w:r>
          </w:p>
        </w:tc>
        <w:tc>
          <w:tcPr>
            <w:tcW w:type="dxa" w:w="2016"/>
          </w:tcPr>
          <w:p>
            <w:r>
              <w:rPr>
                <w:sz w:val="20"/>
              </w:rPr>
              <w:t>8.8/10</w:t>
            </w:r>
          </w:p>
        </w:tc>
      </w:tr>
      <w:tr>
        <w:tc>
          <w:tcPr>
            <w:tcW w:type="dxa" w:w="2016"/>
          </w:tcPr>
          <w:p>
            <w:r>
              <w:rPr>
                <w:sz w:val="20"/>
              </w:rPr>
              <w:t>Lenovo</w:t>
            </w:r>
          </w:p>
        </w:tc>
        <w:tc>
          <w:tcPr>
            <w:tcW w:type="dxa" w:w="2016"/>
          </w:tcPr>
          <w:p>
            <w:r>
              <w:rPr>
                <w:sz w:val="20"/>
              </w:rPr>
              <w:t>$1,296,000</w:t>
            </w:r>
          </w:p>
        </w:tc>
        <w:tc>
          <w:tcPr>
            <w:tcW w:type="dxa" w:w="2016"/>
          </w:tcPr>
          <w:p>
            <w:r>
              <w:rPr>
                <w:sz w:val="20"/>
              </w:rPr>
              <w:t>4.5/5.0</w:t>
            </w:r>
          </w:p>
        </w:tc>
        <w:tc>
          <w:tcPr>
            <w:tcW w:type="dxa" w:w="2016"/>
          </w:tcPr>
          <w:p>
            <w:r>
              <w:rPr>
                <w:sz w:val="20"/>
              </w:rPr>
              <w:t>92%</w:t>
            </w:r>
          </w:p>
        </w:tc>
        <w:tc>
          <w:tcPr>
            <w:tcW w:type="dxa" w:w="2016"/>
          </w:tcPr>
          <w:p>
            <w:r>
              <w:rPr>
                <w:sz w:val="20"/>
              </w:rPr>
              <w:t>8.5/10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50%</w:t>
            </w:r>
          </w:p>
        </w:tc>
      </w:tr>
    </w:tbl>
    <w:p/>
    <w:p>
      <w:r>
        <w:rPr>
          <w:b/>
        </w:rPr>
        <w:t>Violations Detected:</w:t>
      </w:r>
    </w:p>
    <w:p>
      <w:pPr>
        <w:pStyle w:val="ListBullet"/>
      </w:pPr>
      <w:r>
        <w:t>R001: Regional Concentration</w:t>
      </w:r>
    </w:p>
    <w:p>
      <w:pPr>
        <w:pStyle w:val="ListBullet"/>
      </w:pPr>
      <w:r>
        <w:t>R023: Supplier Concentration Index</w:t>
      </w:r>
    </w:p>
    <w:p/>
    <w:p>
      <w:pPr>
        <w:pStyle w:val="Heading2"/>
      </w:pPr>
      <w:r>
        <w:rPr>
          <w:color w:val="003366"/>
        </w:rPr>
        <w:t>STRATEGIC OUTCOME</w:t>
      </w:r>
    </w:p>
    <w:p>
      <w:pPr>
        <w:pStyle w:val="ListBullet"/>
      </w:pPr>
      <w:r>
        <w:t>Reduce single-supplier concentration from 50% to 40% in Phase 1</w:t>
      </w:r>
    </w:p>
    <w:p>
      <w:pPr>
        <w:pStyle w:val="ListBullet"/>
      </w:pPr>
      <w:r>
        <w:t>Activate 10% of spend via incumbent supplier (Apple Inc)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124,416–373,248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it hardware with Apple Inc</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