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LEADERSHIP BRIEF – LOGISTICS SERVICES DIVERSIFICATION</w:t>
      </w:r>
    </w:p>
    <w:p>
      <w:pPr>
        <w:jc w:val="center"/>
      </w:pPr>
      <w:r>
        <w:rPr>
          <w:i/>
          <w:sz w:val="22"/>
        </w:rPr>
        <w:t>Supplier Concentration Analysis &amp; Diversification Strategy</w:t>
      </w:r>
    </w:p>
    <w:p>
      <w:pPr>
        <w:jc w:val="center"/>
      </w:pPr>
      <w:r>
        <w:rPr>
          <w:b/>
          <w:sz w:val="24"/>
        </w:rPr>
        <w:t>Total Category Spend 2025: USD 4,244,400</w:t>
      </w:r>
    </w:p>
    <w:p/>
    <w:p>
      <w:pPr>
        <w:pStyle w:val="Heading2"/>
      </w:pPr>
      <w:r>
        <w:rPr>
          <w:color w:val="003366"/>
        </w:rPr>
        <w:t>CURRENT STATE – SUPPLIER CONCENTRATION RISK</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2025 Original</w:t>
            </w:r>
          </w:p>
        </w:tc>
      </w:tr>
      <w:tr>
        <w:tc>
          <w:tcPr>
            <w:tcW w:type="dxa" w:w="5040"/>
          </w:tcPr>
          <w:p>
            <w:r>
              <w:rPr>
                <w:sz w:val="20"/>
              </w:rPr>
              <w:t>Supplier</w:t>
            </w:r>
          </w:p>
        </w:tc>
        <w:tc>
          <w:tcPr>
            <w:tcW w:type="dxa" w:w="5040"/>
          </w:tcPr>
          <w:p>
            <w:r>
              <w:rPr>
                <w:sz w:val="20"/>
              </w:rPr>
              <w:t>DHL</w:t>
            </w:r>
          </w:p>
        </w:tc>
      </w:tr>
      <w:tr>
        <w:tc>
          <w:tcPr>
            <w:tcW w:type="dxa" w:w="5040"/>
          </w:tcPr>
          <w:p>
            <w:r>
              <w:rPr>
                <w:sz w:val="20"/>
              </w:rPr>
              <w:t>Supplier Location</w:t>
            </w:r>
          </w:p>
        </w:tc>
        <w:tc>
          <w:tcPr>
            <w:tcW w:type="dxa" w:w="5040"/>
          </w:tcPr>
          <w:p>
            <w:r>
              <w:rPr>
                <w:sz w:val="20"/>
              </w:rPr>
              <w:t>Germany</w:t>
            </w:r>
          </w:p>
        </w:tc>
      </w:tr>
      <w:tr>
        <w:tc>
          <w:tcPr>
            <w:tcW w:type="dxa" w:w="5040"/>
          </w:tcPr>
          <w:p>
            <w:r>
              <w:rPr>
                <w:sz w:val="20"/>
              </w:rPr>
              <w:t>Spend Share</w:t>
            </w:r>
          </w:p>
        </w:tc>
        <w:tc>
          <w:tcPr>
            <w:tcW w:type="dxa" w:w="5040"/>
          </w:tcPr>
          <w:p>
            <w:r>
              <w:rPr>
                <w:sz w:val="20"/>
              </w:rPr>
              <w:t>52% = USD 2,214,000</w:t>
            </w:r>
          </w:p>
        </w:tc>
      </w:tr>
      <w:tr>
        <w:tc>
          <w:tcPr>
            <w:tcW w:type="dxa" w:w="5040"/>
          </w:tcPr>
          <w:p>
            <w:r>
              <w:rPr>
                <w:sz w:val="20"/>
              </w:rPr>
              <w:t>Current Logistics Services Buying from Supplier</w:t>
            </w:r>
          </w:p>
        </w:tc>
        <w:tc>
          <w:tcPr>
            <w:tcW w:type="dxa" w:w="5040"/>
          </w:tcPr>
          <w:p>
            <w:r>
              <w:rPr>
                <w:sz w:val="20"/>
              </w:rPr>
              <w:t>Yes</w:t>
            </w:r>
          </w:p>
        </w:tc>
      </w:tr>
      <w:tr>
        <w:tc>
          <w:tcPr>
            <w:tcW w:type="dxa" w:w="5040"/>
          </w:tcPr>
          <w:p>
            <w:r>
              <w:rPr>
                <w:sz w:val="20"/>
              </w:rPr>
              <w:t>Alternate Supplier for Logistics Services</w:t>
            </w:r>
          </w:p>
        </w:tc>
        <w:tc>
          <w:tcPr>
            <w:tcW w:type="dxa" w:w="5040"/>
          </w:tcPr>
          <w:p>
            <w:r>
              <w:rPr>
                <w:sz w:val="20"/>
              </w:rPr>
              <w:t>None active today</w:t>
            </w:r>
          </w:p>
        </w:tc>
      </w:tr>
      <w:tr>
        <w:tc>
          <w:tcPr>
            <w:tcW w:type="dxa" w:w="5040"/>
          </w:tcPr>
          <w:p>
            <w:r>
              <w:rPr>
                <w:sz w:val="20"/>
              </w:rPr>
              <w:t>Key Risk</w:t>
            </w:r>
          </w:p>
        </w:tc>
        <w:tc>
          <w:tcPr>
            <w:tcW w:type="dxa" w:w="5040"/>
          </w:tcPr>
          <w:p>
            <w:r>
              <w:rPr>
                <w:sz w:val="20"/>
              </w:rPr>
              <w:t>Moderate concentration in Europe with 3 suppliers</w:t>
            </w:r>
          </w:p>
        </w:tc>
      </w:tr>
    </w:tbl>
    <w:p/>
    <w:p>
      <w:pPr>
        <w:pStyle w:val="Heading3"/>
      </w:pPr>
      <w:r>
        <w:rPr>
          <w:color w:val="003366"/>
        </w:rPr>
        <w:t>OVERALL RISK STATEMENT</w:t>
      </w:r>
    </w:p>
    <w:p>
      <w:pPr>
        <w:spacing w:after="240"/>
      </w:pPr>
      <w:r>
        <w:t xml:space="preserve">Our current logistics services procurement involves 3 suppliers, with DHL as the dominant supplier at 52% of total category spend (USD 2,214,000 of USD 4,244,400 in 2025). Other suppliers include: FedEx (33%), UPS (15%). All suppliers operate from Germany. We do not have alternate Logistics suppliers activated for this category. </w:t>
        <w:br/>
        <w:br/>
        <w:t>This creates a geographic concentration risk. It is recommended to identify and activate alternate suppliers to offset this dependency, introduce price competition, diversify geographic exposure, and enable alternate logistics routing, while continuing optimization and quarterly rebalancing.</w:t>
      </w:r>
    </w:p>
    <w:p/>
    <w:p>
      <w:pPr>
        <w:pStyle w:val="Heading2"/>
      </w:pPr>
      <w:r>
        <w:rPr>
          <w:color w:val="003366"/>
        </w:rPr>
        <w:t>SUPPLIER SHARE REDUCTION IMPACT (TARGET STATE)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Supplier</w:t>
            </w:r>
          </w:p>
        </w:tc>
        <w:tc>
          <w:tcPr>
            <w:tcW w:type="dxa" w:w="2520"/>
          </w:tcPr>
          <w:p>
            <w:r>
              <w:rPr>
                <w:b/>
                <w:sz w:val="20"/>
              </w:rPr>
              <w:t>Original Share</w:t>
            </w:r>
          </w:p>
        </w:tc>
        <w:tc>
          <w:tcPr>
            <w:tcW w:type="dxa" w:w="2520"/>
          </w:tcPr>
          <w:p>
            <w:r>
              <w:rPr>
                <w:b/>
                <w:sz w:val="20"/>
              </w:rPr>
              <w:t>New Target Cap</w:t>
            </w:r>
          </w:p>
        </w:tc>
        <w:tc>
          <w:tcPr>
            <w:tcW w:type="dxa" w:w="2520"/>
          </w:tcPr>
          <w:p>
            <w:r>
              <w:rPr>
                <w:b/>
                <w:sz w:val="20"/>
              </w:rPr>
              <w:t>Reduction in Concentration</w:t>
            </w:r>
          </w:p>
        </w:tc>
      </w:tr>
      <w:tr>
        <w:tc>
          <w:tcPr>
            <w:tcW w:type="dxa" w:w="2520"/>
          </w:tcPr>
          <w:p>
            <w:r>
              <w:rPr>
                <w:sz w:val="20"/>
              </w:rPr>
              <w:t>DHL</w:t>
            </w:r>
          </w:p>
        </w:tc>
        <w:tc>
          <w:tcPr>
            <w:tcW w:type="dxa" w:w="2520"/>
          </w:tcPr>
          <w:p>
            <w:r>
              <w:rPr>
                <w:sz w:val="20"/>
              </w:rPr>
              <w:t>52%</w:t>
            </w:r>
          </w:p>
        </w:tc>
        <w:tc>
          <w:tcPr>
            <w:tcW w:type="dxa" w:w="2520"/>
          </w:tcPr>
          <w:p>
            <w:r>
              <w:rPr>
                <w:sz w:val="20"/>
              </w:rPr>
              <w:t>40%</w:t>
            </w:r>
          </w:p>
        </w:tc>
        <w:tc>
          <w:tcPr>
            <w:tcW w:type="dxa" w:w="2520"/>
          </w:tcPr>
          <w:p>
            <w:r>
              <w:rPr>
                <w:sz w:val="20"/>
              </w:rPr>
              <w:t>52% → 40% = 23.4% reduction</w:t>
            </w:r>
          </w:p>
        </w:tc>
      </w:tr>
      <w:tr>
        <w:tc>
          <w:tcPr>
            <w:tcW w:type="dxa" w:w="2520"/>
          </w:tcPr>
          <w:p>
            <w:r>
              <w:rPr>
                <w:sz w:val="20"/>
              </w:rPr>
              <w:t>New Alternate Supplier</w:t>
            </w:r>
          </w:p>
        </w:tc>
        <w:tc>
          <w:tcPr>
            <w:tcW w:type="dxa" w:w="2520"/>
          </w:tcPr>
          <w:p>
            <w:r>
              <w:rPr>
                <w:sz w:val="20"/>
              </w:rPr>
              <w:t>0%</w:t>
            </w:r>
          </w:p>
        </w:tc>
        <w:tc>
          <w:tcPr>
            <w:tcW w:type="dxa" w:w="2520"/>
          </w:tcPr>
          <w:p>
            <w:r>
              <w:rPr>
                <w:sz w:val="20"/>
              </w:rPr>
              <w:t>12%</w:t>
            </w:r>
          </w:p>
        </w:tc>
        <w:tc>
          <w:tcPr>
            <w:tcW w:type="dxa" w:w="2520"/>
          </w:tcPr>
          <w:p>
            <w:r>
              <w:rPr>
                <w:sz w:val="20"/>
              </w:rPr>
              <w:t>Enables supplier competition + fallback</w:t>
            </w:r>
          </w:p>
        </w:tc>
      </w:tr>
    </w:tbl>
    <w:p/>
    <w:p>
      <w:pPr>
        <w:pStyle w:val="Heading2"/>
      </w:pPr>
      <w:r>
        <w:rPr>
          <w:color w:val="003366"/>
        </w:rPr>
        <w:t>REGIONAL DEPENDENCY IMPROVEMENT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Metric</w:t>
            </w:r>
          </w:p>
        </w:tc>
        <w:tc>
          <w:tcPr>
            <w:tcW w:type="dxa" w:w="2520"/>
          </w:tcPr>
          <w:p>
            <w:r>
              <w:rPr>
                <w:b/>
                <w:sz w:val="20"/>
              </w:rPr>
              <w:t>Original 2025</w:t>
            </w:r>
          </w:p>
        </w:tc>
        <w:tc>
          <w:tcPr>
            <w:tcW w:type="dxa" w:w="2520"/>
          </w:tcPr>
          <w:p>
            <w:r>
              <w:rPr>
                <w:b/>
                <w:sz w:val="20"/>
              </w:rPr>
              <w:t>New Target</w:t>
            </w:r>
          </w:p>
        </w:tc>
        <w:tc>
          <w:tcPr>
            <w:tcW w:type="dxa" w:w="2520"/>
          </w:tcPr>
          <w:p>
            <w:r>
              <w:rPr>
                <w:b/>
                <w:sz w:val="20"/>
              </w:rPr>
              <w:t>Net Reduction</w:t>
            </w:r>
          </w:p>
        </w:tc>
      </w:tr>
      <w:tr>
        <w:tc>
          <w:tcPr>
            <w:tcW w:type="dxa" w:w="2520"/>
          </w:tcPr>
          <w:p>
            <w:r>
              <w:rPr>
                <w:sz w:val="20"/>
              </w:rPr>
              <w:t>European Supply Corridor</w:t>
            </w:r>
          </w:p>
        </w:tc>
        <w:tc>
          <w:tcPr>
            <w:tcW w:type="dxa" w:w="2520"/>
          </w:tcPr>
          <w:p>
            <w:r>
              <w:rPr>
                <w:sz w:val="20"/>
              </w:rPr>
              <w:t>52%</w:t>
            </w:r>
          </w:p>
        </w:tc>
        <w:tc>
          <w:tcPr>
            <w:tcW w:type="dxa" w:w="2520"/>
          </w:tcPr>
          <w:p>
            <w:r>
              <w:rPr>
                <w:sz w:val="20"/>
              </w:rPr>
              <w:t>40–50%</w:t>
            </w:r>
          </w:p>
        </w:tc>
        <w:tc>
          <w:tcPr>
            <w:tcW w:type="dxa" w:w="2520"/>
          </w:tcPr>
          <w:p>
            <w:r>
              <w:rPr>
                <w:sz w:val="20"/>
              </w:rPr>
              <w:t>2–12%</w:t>
            </w:r>
          </w:p>
        </w:tc>
      </w:tr>
    </w:tbl>
    <w:p/>
    <w:p>
      <w:pPr>
        <w:pStyle w:val="Heading2"/>
      </w:pPr>
      <w:r>
        <w:rPr>
          <w:color w:val="003366"/>
        </w:rPr>
        <w:t>COST ADVANTAGE PROJECTION FROM ADDING NEW ALTERNATE SUPPLIER INTO LOGISTICS SERVICES PROCUREMENT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Region of New Alternate Supplier Presence</w:t>
            </w:r>
          </w:p>
        </w:tc>
        <w:tc>
          <w:tcPr>
            <w:tcW w:type="dxa" w:w="3360"/>
          </w:tcPr>
          <w:p>
            <w:r>
              <w:rPr>
                <w:b/>
                <w:sz w:val="20"/>
              </w:rPr>
              <w:t>Advantage Driver</w:t>
            </w:r>
          </w:p>
        </w:tc>
        <w:tc>
          <w:tcPr>
            <w:tcW w:type="dxa" w:w="3360"/>
          </w:tcPr>
          <w:p>
            <w:r>
              <w:rPr>
                <w:b/>
                <w:sz w:val="20"/>
              </w:rPr>
              <w:t>Estimated Annual Cost Benefit (USD)</w:t>
            </w:r>
          </w:p>
        </w:tc>
      </w:tr>
      <w:tr>
        <w:tc>
          <w:tcPr>
            <w:tcW w:type="dxa" w:w="3360"/>
          </w:tcPr>
          <w:p>
            <w:r>
              <w:rPr>
                <w:sz w:val="20"/>
              </w:rPr>
              <w:t>Netherlands</w:t>
            </w:r>
          </w:p>
        </w:tc>
        <w:tc>
          <w:tcPr>
            <w:tcW w:type="dxa" w:w="3360"/>
          </w:tcPr>
          <w:p>
            <w:r>
              <w:rPr>
                <w:sz w:val="20"/>
              </w:rPr>
              <w:t>Port efficiency + logistics expertise</w:t>
            </w:r>
          </w:p>
        </w:tc>
        <w:tc>
          <w:tcPr>
            <w:tcW w:type="dxa" w:w="3360"/>
          </w:tcPr>
          <w:p>
            <w:r>
              <w:rPr>
                <w:sz w:val="20"/>
              </w:rPr>
              <w:t>$31,833 – $95,499</w:t>
            </w:r>
          </w:p>
        </w:tc>
      </w:tr>
      <w:tr>
        <w:tc>
          <w:tcPr>
            <w:tcW w:type="dxa" w:w="3360"/>
          </w:tcPr>
          <w:p>
            <w:r>
              <w:rPr>
                <w:sz w:val="20"/>
              </w:rPr>
              <w:t>Singapore</w:t>
            </w:r>
          </w:p>
        </w:tc>
        <w:tc>
          <w:tcPr>
            <w:tcW w:type="dxa" w:w="3360"/>
          </w:tcPr>
          <w:p>
            <w:r>
              <w:rPr>
                <w:sz w:val="20"/>
              </w:rPr>
              <w:t>APAC hub + connectivity</w:t>
            </w:r>
          </w:p>
        </w:tc>
        <w:tc>
          <w:tcPr>
            <w:tcW w:type="dxa" w:w="3360"/>
          </w:tcPr>
          <w:p>
            <w:r>
              <w:rPr>
                <w:sz w:val="20"/>
              </w:rPr>
              <w:t>$31,833 – $95,499</w:t>
            </w:r>
          </w:p>
        </w:tc>
      </w:tr>
      <w:tr>
        <w:tc>
          <w:tcPr>
            <w:tcW w:type="dxa" w:w="3360"/>
          </w:tcPr>
          <w:p>
            <w:r>
              <w:rPr>
                <w:sz w:val="20"/>
              </w:rPr>
              <w:t>UAE</w:t>
            </w:r>
          </w:p>
        </w:tc>
        <w:tc>
          <w:tcPr>
            <w:tcW w:type="dxa" w:w="3360"/>
          </w:tcPr>
          <w:p>
            <w:r>
              <w:rPr>
                <w:sz w:val="20"/>
              </w:rPr>
              <w:t>Diversification benefits + competitive pricing in UAE</w:t>
            </w:r>
          </w:p>
        </w:tc>
        <w:tc>
          <w:tcPr>
            <w:tcW w:type="dxa" w:w="3360"/>
          </w:tcPr>
          <w:p>
            <w:r>
              <w:rPr>
                <w:sz w:val="20"/>
              </w:rPr>
              <w:t>$31,833 – $95,499</w:t>
            </w:r>
          </w:p>
        </w:tc>
      </w:tr>
      <w:tr>
        <w:tc>
          <w:tcPr>
            <w:tcW w:type="dxa" w:w="3360"/>
          </w:tcPr>
          <w:p>
            <w:r>
              <w:rPr>
                <w:sz w:val="20"/>
              </w:rPr>
              <w:t>Blended Annual Advantage</w:t>
            </w:r>
          </w:p>
        </w:tc>
        <w:tc>
          <w:tcPr>
            <w:tcW w:type="dxa" w:w="3360"/>
          </w:tcPr>
          <w:p>
            <w:r>
              <w:rPr>
                <w:sz w:val="20"/>
              </w:rPr>
              <w:t>Supplier competition + diversification benefits + logistics resilience</w:t>
            </w:r>
          </w:p>
        </w:tc>
        <w:tc>
          <w:tcPr>
            <w:tcW w:type="dxa" w:w="3360"/>
          </w:tcPr>
          <w:p>
            <w:r>
              <w:rPr>
                <w:sz w:val="20"/>
              </w:rPr>
              <w:t>$95,499 – $286,497</w:t>
            </w:r>
          </w:p>
        </w:tc>
      </w:tr>
    </w:tbl>
    <w:p/>
    <w:p>
      <w:pPr>
        <w:pStyle w:val="Heading2"/>
      </w:pPr>
      <w:r>
        <w:rPr>
          <w:color w:val="003366"/>
        </w:rPr>
        <w:t>RISK ASSESSMENT MATRIX</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Risk Category</w:t>
            </w:r>
          </w:p>
        </w:tc>
        <w:tc>
          <w:tcPr>
            <w:tcW w:type="dxa" w:w="3360"/>
          </w:tcPr>
          <w:p>
            <w:r>
              <w:rPr>
                <w:b/>
                <w:sz w:val="20"/>
              </w:rPr>
              <w:t>Current Level</w:t>
            </w:r>
          </w:p>
        </w:tc>
        <w:tc>
          <w:tcPr>
            <w:tcW w:type="dxa" w:w="3360"/>
          </w:tcPr>
          <w:p>
            <w:r>
              <w:rPr>
                <w:b/>
                <w:sz w:val="20"/>
              </w:rPr>
              <w:t>Description</w:t>
            </w:r>
          </w:p>
        </w:tc>
      </w:tr>
      <w:tr>
        <w:tc>
          <w:tcPr>
            <w:tcW w:type="dxa" w:w="3360"/>
          </w:tcPr>
          <w:p>
            <w:r>
              <w:rPr>
                <w:sz w:val="20"/>
              </w:rPr>
              <w:t>Supply Chain Risk</w:t>
            </w:r>
          </w:p>
        </w:tc>
        <w:tc>
          <w:tcPr>
            <w:tcW w:type="dxa" w:w="3360"/>
          </w:tcPr>
          <w:p>
            <w:r>
              <w:rPr>
                <w:sz w:val="20"/>
              </w:rPr>
              <w:t>HIGH</w:t>
            </w:r>
          </w:p>
        </w:tc>
        <w:tc>
          <w:tcPr>
            <w:tcW w:type="dxa" w:w="3360"/>
          </w:tcPr>
          <w:p>
            <w:r>
              <w:rPr>
                <w:sz w:val="20"/>
              </w:rPr>
              <w:t>Single supplier dependency level</w:t>
            </w:r>
          </w:p>
        </w:tc>
      </w:tr>
      <w:tr>
        <w:tc>
          <w:tcPr>
            <w:tcW w:type="dxa" w:w="3360"/>
          </w:tcPr>
          <w:p>
            <w:r>
              <w:rPr>
                <w:sz w:val="20"/>
              </w:rPr>
              <w:t>Geographic Risk</w:t>
            </w:r>
          </w:p>
        </w:tc>
        <w:tc>
          <w:tcPr>
            <w:tcW w:type="dxa" w:w="3360"/>
          </w:tcPr>
          <w:p>
            <w:r>
              <w:rPr>
                <w:sz w:val="20"/>
              </w:rPr>
              <w:t>HIGH</w:t>
            </w:r>
          </w:p>
        </w:tc>
        <w:tc>
          <w:tcPr>
            <w:tcW w:type="dxa" w:w="3360"/>
          </w:tcPr>
          <w:p>
            <w:r>
              <w:rPr>
                <w:sz w:val="20"/>
              </w:rPr>
              <w:t>Regional concentration level</w:t>
            </w:r>
          </w:p>
        </w:tc>
      </w:tr>
      <w:tr>
        <w:tc>
          <w:tcPr>
            <w:tcW w:type="dxa" w:w="3360"/>
          </w:tcPr>
          <w:p>
            <w:r>
              <w:rPr>
                <w:sz w:val="20"/>
              </w:rPr>
              <w:t>Supplier Diversity Risk</w:t>
            </w:r>
          </w:p>
        </w:tc>
        <w:tc>
          <w:tcPr>
            <w:tcW w:type="dxa" w:w="3360"/>
          </w:tcPr>
          <w:p>
            <w:r>
              <w:rPr>
                <w:sz w:val="20"/>
              </w:rPr>
              <w:t>MEDIUM</w:t>
            </w:r>
          </w:p>
        </w:tc>
        <w:tc>
          <w:tcPr>
            <w:tcW w:type="dxa" w:w="3360"/>
          </w:tcPr>
          <w:p>
            <w:r>
              <w:rPr>
                <w:sz w:val="20"/>
              </w:rPr>
              <w:t>Number of qualified suppliers</w:t>
            </w:r>
          </w:p>
        </w:tc>
      </w:tr>
      <w:tr>
        <w:tc>
          <w:tcPr>
            <w:tcW w:type="dxa" w:w="3360"/>
          </w:tcPr>
          <w:p>
            <w:r>
              <w:rPr>
                <w:sz w:val="20"/>
              </w:rPr>
              <w:t>Overall Risk Score</w:t>
            </w:r>
          </w:p>
        </w:tc>
        <w:tc>
          <w:tcPr>
            <w:tcW w:type="dxa" w:w="3360"/>
          </w:tcPr>
          <w:p>
            <w:r>
              <w:rPr>
                <w:sz w:val="20"/>
              </w:rPr>
              <w:t>2.7/4.0</w:t>
            </w:r>
          </w:p>
        </w:tc>
        <w:tc>
          <w:tcPr>
            <w:tcW w:type="dxa" w:w="3360"/>
          </w:tcPr>
          <w:p>
            <w:r>
              <w:rPr>
                <w:sz w:val="20"/>
              </w:rPr>
              <w:t>HIGH</w:t>
            </w:r>
          </w:p>
        </w:tc>
      </w:tr>
    </w:tbl>
    <w:p/>
    <w:p>
      <w:pPr>
        <w:pStyle w:val="Heading2"/>
      </w:pPr>
      <w:r>
        <w:rPr>
          <w:color w:val="003366"/>
        </w:rPr>
        <w:t>ROI PROJECTIONS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Financial Metric</w:t>
            </w:r>
          </w:p>
        </w:tc>
        <w:tc>
          <w:tcPr>
            <w:tcW w:type="dxa" w:w="5040"/>
          </w:tcPr>
          <w:p>
            <w:r>
              <w:rPr>
                <w:b/>
                <w:sz w:val="20"/>
              </w:rPr>
              <w:t>Projected Value</w:t>
            </w:r>
          </w:p>
        </w:tc>
      </w:tr>
      <w:tr>
        <w:tc>
          <w:tcPr>
            <w:tcW w:type="dxa" w:w="5040"/>
          </w:tcPr>
          <w:p>
            <w:r>
              <w:rPr>
                <w:sz w:val="20"/>
              </w:rPr>
              <w:t>Annual Cost Savings</w:t>
            </w:r>
          </w:p>
        </w:tc>
        <w:tc>
          <w:tcPr>
            <w:tcW w:type="dxa" w:w="5040"/>
          </w:tcPr>
          <w:p>
            <w:r>
              <w:rPr>
                <w:sz w:val="20"/>
              </w:rPr>
              <w:t>$95,499 – $286,497</w:t>
            </w:r>
          </w:p>
        </w:tc>
      </w:tr>
      <w:tr>
        <w:tc>
          <w:tcPr>
            <w:tcW w:type="dxa" w:w="5040"/>
          </w:tcPr>
          <w:p>
            <w:r>
              <w:rPr>
                <w:sz w:val="20"/>
              </w:rPr>
              <w:t>Risk Reduction Value</w:t>
            </w:r>
          </w:p>
        </w:tc>
        <w:tc>
          <w:tcPr>
            <w:tcW w:type="dxa" w:w="5040"/>
          </w:tcPr>
          <w:p>
            <w:r>
              <w:rPr>
                <w:sz w:val="20"/>
              </w:rPr>
              <w:t>$15,280</w:t>
            </w:r>
          </w:p>
        </w:tc>
      </w:tr>
      <w:tr>
        <w:tc>
          <w:tcPr>
            <w:tcW w:type="dxa" w:w="5040"/>
          </w:tcPr>
          <w:p>
            <w:r>
              <w:rPr>
                <w:sz w:val="20"/>
              </w:rPr>
              <w:t>Implementation Cost</w:t>
            </w:r>
          </w:p>
        </w:tc>
        <w:tc>
          <w:tcPr>
            <w:tcW w:type="dxa" w:w="5040"/>
          </w:tcPr>
          <w:p>
            <w:r>
              <w:rPr>
                <w:sz w:val="20"/>
              </w:rPr>
              <w:t>$84,888</w:t>
            </w:r>
          </w:p>
        </w:tc>
      </w:tr>
      <w:tr>
        <w:tc>
          <w:tcPr>
            <w:tcW w:type="dxa" w:w="5040"/>
          </w:tcPr>
          <w:p>
            <w:r>
              <w:rPr>
                <w:sz w:val="20"/>
              </w:rPr>
              <w:t>ROI (First Year)</w:t>
            </w:r>
          </w:p>
        </w:tc>
        <w:tc>
          <w:tcPr>
            <w:tcW w:type="dxa" w:w="5040"/>
          </w:tcPr>
          <w:p>
            <w:r>
              <w:rPr>
                <w:sz w:val="20"/>
              </w:rPr>
              <w:t>30% – 256%</w:t>
            </w:r>
          </w:p>
        </w:tc>
      </w:tr>
      <w:tr>
        <w:tc>
          <w:tcPr>
            <w:tcW w:type="dxa" w:w="5040"/>
          </w:tcPr>
          <w:p>
            <w:r>
              <w:rPr>
                <w:sz w:val="20"/>
              </w:rPr>
              <w:t>Payback Period</w:t>
            </w:r>
          </w:p>
        </w:tc>
        <w:tc>
          <w:tcPr>
            <w:tcW w:type="dxa" w:w="5040"/>
          </w:tcPr>
          <w:p>
            <w:r>
              <w:rPr>
                <w:sz w:val="20"/>
              </w:rPr>
              <w:t>3.4 – 9.2 months</w:t>
            </w:r>
          </w:p>
        </w:tc>
      </w:tr>
      <w:tr>
        <w:tc>
          <w:tcPr>
            <w:tcW w:type="dxa" w:w="5040"/>
          </w:tcPr>
          <w:p>
            <w:r>
              <w:rPr>
                <w:sz w:val="20"/>
              </w:rPr>
              <w:t>3-Year Net Benefit</w:t>
            </w:r>
          </w:p>
        </w:tc>
        <w:tc>
          <w:tcPr>
            <w:tcW w:type="dxa" w:w="5040"/>
          </w:tcPr>
          <w:p>
            <w:r>
              <w:rPr>
                <w:sz w:val="20"/>
              </w:rPr>
              <w:t>$247,449 – $820,443</w:t>
            </w:r>
          </w:p>
        </w:tc>
      </w:tr>
    </w:tbl>
    <w:p/>
    <w:p>
      <w:pPr>
        <w:pStyle w:val="Heading2"/>
      </w:pPr>
      <w:r>
        <w:rPr>
          <w:color w:val="003366"/>
        </w:rPr>
        <w:t>SUPPLIER PERFORMANCE METRICS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20"/>
              </w:rPr>
              <w:t>Supplier</w:t>
            </w:r>
          </w:p>
        </w:tc>
        <w:tc>
          <w:tcPr>
            <w:tcW w:type="dxa" w:w="2016"/>
          </w:tcPr>
          <w:p>
            <w:r>
              <w:rPr>
                <w:b/>
                <w:sz w:val="20"/>
              </w:rPr>
              <w:t>Spend (USD)</w:t>
            </w:r>
          </w:p>
        </w:tc>
        <w:tc>
          <w:tcPr>
            <w:tcW w:type="dxa" w:w="2016"/>
          </w:tcPr>
          <w:p>
            <w:r>
              <w:rPr>
                <w:b/>
                <w:sz w:val="20"/>
              </w:rPr>
              <w:t>Quality Rating</w:t>
            </w:r>
          </w:p>
        </w:tc>
        <w:tc>
          <w:tcPr>
            <w:tcW w:type="dxa" w:w="2016"/>
          </w:tcPr>
          <w:p>
            <w:r>
              <w:rPr>
                <w:b/>
                <w:sz w:val="20"/>
              </w:rPr>
              <w:t>Delivery %</w:t>
            </w:r>
          </w:p>
        </w:tc>
        <w:tc>
          <w:tcPr>
            <w:tcW w:type="dxa" w:w="2016"/>
          </w:tcPr>
          <w:p>
            <w:r>
              <w:rPr>
                <w:b/>
                <w:sz w:val="20"/>
              </w:rPr>
              <w:t>Sustainability</w:t>
            </w:r>
          </w:p>
        </w:tc>
      </w:tr>
      <w:tr>
        <w:tc>
          <w:tcPr>
            <w:tcW w:type="dxa" w:w="2016"/>
          </w:tcPr>
          <w:p>
            <w:r>
              <w:rPr>
                <w:sz w:val="20"/>
              </w:rPr>
              <w:t>DHL</w:t>
            </w:r>
          </w:p>
        </w:tc>
        <w:tc>
          <w:tcPr>
            <w:tcW w:type="dxa" w:w="2016"/>
          </w:tcPr>
          <w:p>
            <w:r>
              <w:rPr>
                <w:sz w:val="20"/>
              </w:rPr>
              <w:t>$2,214,000</w:t>
            </w:r>
          </w:p>
        </w:tc>
        <w:tc>
          <w:tcPr>
            <w:tcW w:type="dxa" w:w="2016"/>
          </w:tcPr>
          <w:p>
            <w:r>
              <w:rPr>
                <w:sz w:val="20"/>
              </w:rPr>
              <w:t>4.7/5.0</w:t>
            </w:r>
          </w:p>
        </w:tc>
        <w:tc>
          <w:tcPr>
            <w:tcW w:type="dxa" w:w="2016"/>
          </w:tcPr>
          <w:p>
            <w:r>
              <w:rPr>
                <w:sz w:val="20"/>
              </w:rPr>
              <w:t>96%</w:t>
            </w:r>
          </w:p>
        </w:tc>
        <w:tc>
          <w:tcPr>
            <w:tcW w:type="dxa" w:w="2016"/>
          </w:tcPr>
          <w:p>
            <w:r>
              <w:rPr>
                <w:sz w:val="20"/>
              </w:rPr>
              <w:t>8.9/10</w:t>
            </w:r>
          </w:p>
        </w:tc>
      </w:tr>
      <w:tr>
        <w:tc>
          <w:tcPr>
            <w:tcW w:type="dxa" w:w="2016"/>
          </w:tcPr>
          <w:p>
            <w:r>
              <w:rPr>
                <w:sz w:val="20"/>
              </w:rPr>
              <w:t>FedEx</w:t>
            </w:r>
          </w:p>
        </w:tc>
        <w:tc>
          <w:tcPr>
            <w:tcW w:type="dxa" w:w="2016"/>
          </w:tcPr>
          <w:p>
            <w:r>
              <w:rPr>
                <w:sz w:val="20"/>
              </w:rPr>
              <w:t>$1,404,000</w:t>
            </w:r>
          </w:p>
        </w:tc>
        <w:tc>
          <w:tcPr>
            <w:tcW w:type="dxa" w:w="2016"/>
          </w:tcPr>
          <w:p>
            <w:r>
              <w:rPr>
                <w:sz w:val="20"/>
              </w:rPr>
              <w:t>4.7/5.0</w:t>
            </w:r>
          </w:p>
        </w:tc>
        <w:tc>
          <w:tcPr>
            <w:tcW w:type="dxa" w:w="2016"/>
          </w:tcPr>
          <w:p>
            <w:r>
              <w:rPr>
                <w:sz w:val="20"/>
              </w:rPr>
              <w:t>95%</w:t>
            </w:r>
          </w:p>
        </w:tc>
        <w:tc>
          <w:tcPr>
            <w:tcW w:type="dxa" w:w="2016"/>
          </w:tcPr>
          <w:p>
            <w:r>
              <w:rPr>
                <w:sz w:val="20"/>
              </w:rPr>
              <w:t>8.8/10</w:t>
            </w:r>
          </w:p>
        </w:tc>
      </w:tr>
      <w:tr>
        <w:tc>
          <w:tcPr>
            <w:tcW w:type="dxa" w:w="2016"/>
          </w:tcPr>
          <w:p>
            <w:r>
              <w:rPr>
                <w:sz w:val="20"/>
              </w:rPr>
              <w:t>UPS</w:t>
            </w:r>
          </w:p>
        </w:tc>
        <w:tc>
          <w:tcPr>
            <w:tcW w:type="dxa" w:w="2016"/>
          </w:tcPr>
          <w:p>
            <w:r>
              <w:rPr>
                <w:sz w:val="20"/>
              </w:rPr>
              <w:t>$626,400</w:t>
            </w:r>
          </w:p>
        </w:tc>
        <w:tc>
          <w:tcPr>
            <w:tcW w:type="dxa" w:w="2016"/>
          </w:tcPr>
          <w:p>
            <w:r>
              <w:rPr>
                <w:sz w:val="20"/>
              </w:rPr>
              <w:t>4.6/5.0</w:t>
            </w:r>
          </w:p>
        </w:tc>
        <w:tc>
          <w:tcPr>
            <w:tcW w:type="dxa" w:w="2016"/>
          </w:tcPr>
          <w:p>
            <w:r>
              <w:rPr>
                <w:sz w:val="20"/>
              </w:rPr>
              <w:t>94%</w:t>
            </w:r>
          </w:p>
        </w:tc>
        <w:tc>
          <w:tcPr>
            <w:tcW w:type="dxa" w:w="2016"/>
          </w:tcPr>
          <w:p>
            <w:r>
              <w:rPr>
                <w:sz w:val="20"/>
              </w:rPr>
              <w:t>8.7/10</w:t>
            </w:r>
          </w:p>
        </w:tc>
      </w:tr>
    </w:tbl>
    <w:p/>
    <w:p>
      <w:pPr>
        <w:pStyle w:val="Heading2"/>
      </w:pPr>
      <w:r>
        <w:rPr>
          <w:color w:val="003366"/>
        </w:rPr>
        <w:t>RULE COMPLIANCE STATUS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Value</w:t>
            </w:r>
          </w:p>
        </w:tc>
      </w:tr>
      <w:tr>
        <w:tc>
          <w:tcPr>
            <w:tcW w:type="dxa" w:w="5040"/>
          </w:tcPr>
          <w:p>
            <w:r>
              <w:rPr>
                <w:sz w:val="20"/>
              </w:rPr>
              <w:t>Overall Status</w:t>
            </w:r>
          </w:p>
        </w:tc>
        <w:tc>
          <w:tcPr>
            <w:tcW w:type="dxa" w:w="5040"/>
          </w:tcPr>
          <w:p>
            <w:r>
              <w:rPr>
                <w:sz w:val="20"/>
              </w:rPr>
              <w:t>CRITICAL</w:t>
            </w:r>
          </w:p>
        </w:tc>
      </w:tr>
      <w:tr>
        <w:tc>
          <w:tcPr>
            <w:tcW w:type="dxa" w:w="5040"/>
          </w:tcPr>
          <w:p>
            <w:r>
              <w:rPr>
                <w:sz w:val="20"/>
              </w:rPr>
              <w:t>Total Violations</w:t>
            </w:r>
          </w:p>
        </w:tc>
        <w:tc>
          <w:tcPr>
            <w:tcW w:type="dxa" w:w="5040"/>
          </w:tcPr>
          <w:p>
            <w:r>
              <w:rPr>
                <w:sz w:val="20"/>
              </w:rPr>
              <w:t>2</w:t>
            </w:r>
          </w:p>
        </w:tc>
      </w:tr>
      <w:tr>
        <w:tc>
          <w:tcPr>
            <w:tcW w:type="dxa" w:w="5040"/>
          </w:tcPr>
          <w:p>
            <w:r>
              <w:rPr>
                <w:sz w:val="20"/>
              </w:rPr>
              <w:t>Total Warnings</w:t>
            </w:r>
          </w:p>
        </w:tc>
        <w:tc>
          <w:tcPr>
            <w:tcW w:type="dxa" w:w="5040"/>
          </w:tcPr>
          <w:p>
            <w:r>
              <w:rPr>
                <w:sz w:val="20"/>
              </w:rPr>
              <w:t>1</w:t>
            </w:r>
          </w:p>
        </w:tc>
      </w:tr>
      <w:tr>
        <w:tc>
          <w:tcPr>
            <w:tcW w:type="dxa" w:w="5040"/>
          </w:tcPr>
          <w:p>
            <w:r>
              <w:rPr>
                <w:sz w:val="20"/>
              </w:rPr>
              <w:t>Compliance Rate</w:t>
            </w:r>
          </w:p>
        </w:tc>
        <w:tc>
          <w:tcPr>
            <w:tcW w:type="dxa" w:w="5040"/>
          </w:tcPr>
          <w:p>
            <w:r>
              <w:rPr>
                <w:sz w:val="20"/>
              </w:rPr>
              <w:t>25%</w:t>
            </w:r>
          </w:p>
        </w:tc>
      </w:tr>
    </w:tbl>
    <w:p/>
    <w:p>
      <w:r>
        <w:rPr>
          <w:b/>
        </w:rPr>
        <w:t>Violations Detected:</w:t>
      </w:r>
    </w:p>
    <w:p>
      <w:pPr>
        <w:pStyle w:val="ListBullet"/>
      </w:pPr>
      <w:r>
        <w:t>R001: Regional Concentration</w:t>
      </w:r>
    </w:p>
    <w:p>
      <w:pPr>
        <w:pStyle w:val="ListBullet"/>
      </w:pPr>
      <w:r>
        <w:t>R023: Supplier Concentration Index</w:t>
      </w:r>
    </w:p>
    <w:p/>
    <w:p>
      <w:pPr>
        <w:pStyle w:val="Heading2"/>
      </w:pPr>
      <w:r>
        <w:rPr>
          <w:color w:val="003366"/>
        </w:rPr>
        <w:t>STRATEGIC OUTCOME</w:t>
      </w:r>
    </w:p>
    <w:p>
      <w:pPr>
        <w:pStyle w:val="ListBullet"/>
      </w:pPr>
      <w:r>
        <w:t>Reduce single-supplier concentration from 52% to 40% in Phase 1</w:t>
      </w:r>
    </w:p>
    <w:p>
      <w:pPr>
        <w:pStyle w:val="ListBullet"/>
      </w:pPr>
      <w:r>
        <w:t>Activate 12% of spend via new qualified suppliers with multi-region presence</w:t>
      </w:r>
    </w:p>
    <w:p>
      <w:pPr>
        <w:pStyle w:val="ListBullet"/>
      </w:pPr>
      <w:r>
        <w:t>Improve pricing leverage through supplier competition</w:t>
      </w:r>
    </w:p>
    <w:p>
      <w:pPr>
        <w:pStyle w:val="ListBullet"/>
      </w:pPr>
      <w:r>
        <w:t>Reduce european supply corridor risk by ~2%</w:t>
      </w:r>
    </w:p>
    <w:p>
      <w:pPr>
        <w:pStyle w:val="ListBullet"/>
      </w:pPr>
      <w:r>
        <w:t>Achieve estimated annual cost advantage of USD 95,499–286,497 while improving supply continuity</w:t>
      </w:r>
    </w:p>
    <w:p/>
    <w:p>
      <w:pPr>
        <w:pStyle w:val="Heading2"/>
      </w:pPr>
      <w:r>
        <w:rPr>
          <w:color w:val="003366"/>
        </w:rPr>
        <w:t>IMPLEMENTATION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Phase</w:t>
            </w:r>
          </w:p>
        </w:tc>
        <w:tc>
          <w:tcPr>
            <w:tcW w:type="dxa" w:w="3360"/>
          </w:tcPr>
          <w:p>
            <w:r>
              <w:rPr>
                <w:b/>
                <w:sz w:val="20"/>
              </w:rPr>
              <w:t>Duration</w:t>
            </w:r>
          </w:p>
        </w:tc>
        <w:tc>
          <w:tcPr>
            <w:tcW w:type="dxa" w:w="3360"/>
          </w:tcPr>
          <w:p>
            <w:r>
              <w:rPr>
                <w:b/>
                <w:sz w:val="20"/>
              </w:rPr>
              <w:t>Key Activities</w:t>
            </w:r>
          </w:p>
        </w:tc>
      </w:tr>
      <w:tr>
        <w:tc>
          <w:tcPr>
            <w:tcW w:type="dxa" w:w="3360"/>
          </w:tcPr>
          <w:p>
            <w:r>
              <w:rPr>
                <w:sz w:val="20"/>
              </w:rPr>
              <w:t>Phase 1: Supplier Qualification</w:t>
            </w:r>
          </w:p>
        </w:tc>
        <w:tc>
          <w:tcPr>
            <w:tcW w:type="dxa" w:w="3360"/>
          </w:tcPr>
          <w:p>
            <w:r>
              <w:rPr>
                <w:sz w:val="20"/>
              </w:rPr>
              <w:t>Weeks 1-4</w:t>
            </w:r>
          </w:p>
        </w:tc>
        <w:tc>
          <w:tcPr>
            <w:tcW w:type="dxa" w:w="3360"/>
          </w:tcPr>
          <w:p>
            <w:r>
              <w:rPr>
                <w:sz w:val="20"/>
              </w:rPr>
              <w:t>Identify and shortlist alternate suppliers, Request for Information (RFI) distribution</w:t>
            </w:r>
          </w:p>
        </w:tc>
      </w:tr>
      <w:tr>
        <w:tc>
          <w:tcPr>
            <w:tcW w:type="dxa" w:w="3360"/>
          </w:tcPr>
          <w:p>
            <w:r>
              <w:rPr>
                <w:sz w:val="20"/>
              </w:rPr>
              <w:t>Phase 2: Pilot Contracts</w:t>
            </w:r>
          </w:p>
        </w:tc>
        <w:tc>
          <w:tcPr>
            <w:tcW w:type="dxa" w:w="3360"/>
          </w:tcPr>
          <w:p>
            <w:r>
              <w:rPr>
                <w:sz w:val="20"/>
              </w:rPr>
              <w:t>Weeks 5-12</w:t>
            </w:r>
          </w:p>
        </w:tc>
        <w:tc>
          <w:tcPr>
            <w:tcW w:type="dxa" w:w="3360"/>
          </w:tcPr>
          <w:p>
            <w:r>
              <w:rPr>
                <w:sz w:val="20"/>
              </w:rPr>
              <w:t>Negotiate pilot contract terms, Execute 8-12 week pilot allocations</w:t>
            </w:r>
          </w:p>
        </w:tc>
      </w:tr>
      <w:tr>
        <w:tc>
          <w:tcPr>
            <w:tcW w:type="dxa" w:w="3360"/>
          </w:tcPr>
          <w:p>
            <w:r>
              <w:rPr>
                <w:sz w:val="20"/>
              </w:rPr>
              <w:t>Phase 3: Performance Review</w:t>
            </w:r>
          </w:p>
        </w:tc>
        <w:tc>
          <w:tcPr>
            <w:tcW w:type="dxa" w:w="3360"/>
          </w:tcPr>
          <w:p>
            <w:r>
              <w:rPr>
                <w:sz w:val="20"/>
              </w:rPr>
              <w:t>Week 13</w:t>
            </w:r>
          </w:p>
        </w:tc>
        <w:tc>
          <w:tcPr>
            <w:tcW w:type="dxa" w:w="3360"/>
          </w:tcPr>
          <w:p>
            <w:r>
              <w:rPr>
                <w:sz w:val="20"/>
              </w:rPr>
              <w:t>Quarterly performance review, Cost-benefit analysis</w:t>
            </w:r>
          </w:p>
        </w:tc>
      </w:tr>
      <w:tr>
        <w:tc>
          <w:tcPr>
            <w:tcW w:type="dxa" w:w="3360"/>
          </w:tcPr>
          <w:p>
            <w:r>
              <w:rPr>
                <w:sz w:val="20"/>
              </w:rPr>
              <w:t>Phase 4: Scale-Up</w:t>
            </w:r>
          </w:p>
        </w:tc>
        <w:tc>
          <w:tcPr>
            <w:tcW w:type="dxa" w:w="3360"/>
          </w:tcPr>
          <w:p>
            <w:r>
              <w:rPr>
                <w:sz w:val="20"/>
              </w:rPr>
              <w:t>Weeks 14-26</w:t>
            </w:r>
          </w:p>
        </w:tc>
        <w:tc>
          <w:tcPr>
            <w:tcW w:type="dxa" w:w="3360"/>
          </w:tcPr>
          <w:p>
            <w:r>
              <w:rPr>
                <w:sz w:val="20"/>
              </w:rPr>
              <w:t>Gradual volume transition, Long-term contract negotiation</w:t>
            </w:r>
          </w:p>
        </w:tc>
      </w:tr>
    </w:tbl>
    <w:p/>
    <w:p>
      <w:pPr>
        <w:pStyle w:val="Heading2"/>
      </w:pPr>
      <w:r>
        <w:rPr>
          <w:color w:val="003366"/>
        </w:rPr>
        <w:t>NEXT STEPS</w:t>
      </w:r>
    </w:p>
    <w:p>
      <w:r>
        <w:t>1. Activate logistics services with qualified alternate suppliers</w:t>
      </w:r>
    </w:p>
    <w:p>
      <w:r>
        <w:t>2. Initiate 8–12 week pilot allocations</w:t>
      </w:r>
    </w:p>
    <w:p>
      <w:r>
        <w:t>3. Benchmark pricing and delivery quarterly</w:t>
      </w:r>
    </w:p>
    <w:p>
      <w:r>
        <w:t>4. Continue phased reduction based on pilot performance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