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MARKETING SERVICES DIVERSIFICATION</w:t>
      </w:r>
    </w:p>
    <w:p>
      <w:pPr>
        <w:jc w:val="center"/>
      </w:pPr>
      <w:r>
        <w:rPr>
          <w:i/>
          <w:sz w:val="22"/>
        </w:rPr>
        <w:t>Supplier Concentration Analysis &amp; Diversification Strategy</w:t>
      </w:r>
    </w:p>
    <w:p>
      <w:pPr>
        <w:jc w:val="center"/>
      </w:pPr>
      <w:r>
        <w:rPr>
          <w:b/>
          <w:sz w:val="24"/>
        </w:rPr>
        <w:t>Total Category Spend 2025: USD 3,963,600</w:t>
      </w:r>
    </w:p>
    <w:p/>
    <w:p>
      <w:pPr>
        <w:pStyle w:val="Heading2"/>
      </w:pPr>
      <w:r>
        <w:rPr>
          <w:color w:val="003366"/>
        </w:rPr>
        <w:t>CURRENT STATE – SUPPLIER CONCENTRATION RISK</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2025 Original</w:t>
            </w:r>
          </w:p>
        </w:tc>
      </w:tr>
      <w:tr>
        <w:tc>
          <w:tcPr>
            <w:tcW w:type="dxa" w:w="5040"/>
          </w:tcPr>
          <w:p>
            <w:r>
              <w:rPr>
                <w:sz w:val="20"/>
              </w:rPr>
              <w:t>Supplier</w:t>
            </w:r>
          </w:p>
        </w:tc>
        <w:tc>
          <w:tcPr>
            <w:tcW w:type="dxa" w:w="5040"/>
          </w:tcPr>
          <w:p>
            <w:r>
              <w:rPr>
                <w:sz w:val="20"/>
              </w:rPr>
              <w:t>WPP</w:t>
            </w:r>
          </w:p>
        </w:tc>
      </w:tr>
      <w:tr>
        <w:tc>
          <w:tcPr>
            <w:tcW w:type="dxa" w:w="5040"/>
          </w:tcPr>
          <w:p>
            <w:r>
              <w:rPr>
                <w:sz w:val="20"/>
              </w:rPr>
              <w:t>Supplier Location</w:t>
            </w:r>
          </w:p>
        </w:tc>
        <w:tc>
          <w:tcPr>
            <w:tcW w:type="dxa" w:w="5040"/>
          </w:tcPr>
          <w:p>
            <w:r>
              <w:rPr>
                <w:sz w:val="20"/>
              </w:rPr>
              <w:t>UK</w:t>
            </w:r>
          </w:p>
        </w:tc>
      </w:tr>
      <w:tr>
        <w:tc>
          <w:tcPr>
            <w:tcW w:type="dxa" w:w="5040"/>
          </w:tcPr>
          <w:p>
            <w:r>
              <w:rPr>
                <w:sz w:val="20"/>
              </w:rPr>
              <w:t>Spend Share</w:t>
            </w:r>
          </w:p>
        </w:tc>
        <w:tc>
          <w:tcPr>
            <w:tcW w:type="dxa" w:w="5040"/>
          </w:tcPr>
          <w:p>
            <w:r>
              <w:rPr>
                <w:sz w:val="20"/>
              </w:rPr>
              <w:t>54% = USD 2,127,600</w:t>
            </w:r>
          </w:p>
        </w:tc>
      </w:tr>
      <w:tr>
        <w:tc>
          <w:tcPr>
            <w:tcW w:type="dxa" w:w="5040"/>
          </w:tcPr>
          <w:p>
            <w:r>
              <w:rPr>
                <w:sz w:val="20"/>
              </w:rPr>
              <w:t>Current Marketing Services Buying from Supplier</w:t>
            </w:r>
          </w:p>
        </w:tc>
        <w:tc>
          <w:tcPr>
            <w:tcW w:type="dxa" w:w="5040"/>
          </w:tcPr>
          <w:p>
            <w:r>
              <w:rPr>
                <w:sz w:val="20"/>
              </w:rPr>
              <w:t>Yes</w:t>
            </w:r>
          </w:p>
        </w:tc>
      </w:tr>
      <w:tr>
        <w:tc>
          <w:tcPr>
            <w:tcW w:type="dxa" w:w="5040"/>
          </w:tcPr>
          <w:p>
            <w:r>
              <w:rPr>
                <w:sz w:val="20"/>
              </w:rPr>
              <w:t>Alternate Supplier for Marketing Services</w:t>
            </w:r>
          </w:p>
        </w:tc>
        <w:tc>
          <w:tcPr>
            <w:tcW w:type="dxa" w:w="5040"/>
          </w:tcPr>
          <w:p>
            <w:r>
              <w:rPr>
                <w:sz w:val="20"/>
              </w:rPr>
              <w:t>None active today</w:t>
            </w:r>
          </w:p>
        </w:tc>
      </w:tr>
      <w:tr>
        <w:tc>
          <w:tcPr>
            <w:tcW w:type="dxa" w:w="5040"/>
          </w:tcPr>
          <w:p>
            <w:r>
              <w:rPr>
                <w:sz w:val="20"/>
              </w:rPr>
              <w:t>Key Risk</w:t>
            </w:r>
          </w:p>
        </w:tc>
        <w:tc>
          <w:tcPr>
            <w:tcW w:type="dxa" w:w="5040"/>
          </w:tcPr>
          <w:p>
            <w:r>
              <w:rPr>
                <w:sz w:val="20"/>
              </w:rPr>
              <w:t>Moderate concentration in Europe with 3 suppliers</w:t>
            </w:r>
          </w:p>
        </w:tc>
      </w:tr>
    </w:tbl>
    <w:p/>
    <w:p>
      <w:pPr>
        <w:pStyle w:val="Heading3"/>
      </w:pPr>
      <w:r>
        <w:rPr>
          <w:color w:val="003366"/>
        </w:rPr>
        <w:t>OVERALL RISK STATEMENT</w:t>
      </w:r>
    </w:p>
    <w:p>
      <w:pPr>
        <w:spacing w:after="240"/>
      </w:pPr>
      <w:r>
        <w:t xml:space="preserve">Our current marketing services procurement involves 3 suppliers, with WPP as the dominant supplier at 54% of total category spend (USD 2,127,600 of USD 3,963,600 in 2025). Other suppliers include: Omnicom (24%), Publicis (22%). All suppliers operate from UK. We do not have alternate Marketing Services suppliers activated for this category. </w:t>
        <w:br/>
        <w:br/>
        <w:t>This creates a geographic concentration risk. It is recommended to identify and activate alternate suppliers to offset this dependency, introduce price competition, diversify geographic exposure, and enable alternate logistics routing, while continuing optimization and quarterly rebalancing.</w:t>
      </w:r>
    </w:p>
    <w:p/>
    <w:p>
      <w:pPr>
        <w:pStyle w:val="Heading2"/>
      </w:pPr>
      <w:r>
        <w:rPr>
          <w:color w:val="003366"/>
        </w:rPr>
        <w:t>SUPPLIER SHARE REDUCTION IMPACT (TARGET STATE)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Supplier</w:t>
            </w:r>
          </w:p>
        </w:tc>
        <w:tc>
          <w:tcPr>
            <w:tcW w:type="dxa" w:w="2520"/>
          </w:tcPr>
          <w:p>
            <w:r>
              <w:rPr>
                <w:b/>
                <w:sz w:val="20"/>
              </w:rPr>
              <w:t>Original Share</w:t>
            </w:r>
          </w:p>
        </w:tc>
        <w:tc>
          <w:tcPr>
            <w:tcW w:type="dxa" w:w="2520"/>
          </w:tcPr>
          <w:p>
            <w:r>
              <w:rPr>
                <w:b/>
                <w:sz w:val="20"/>
              </w:rPr>
              <w:t>New Target Cap</w:t>
            </w:r>
          </w:p>
        </w:tc>
        <w:tc>
          <w:tcPr>
            <w:tcW w:type="dxa" w:w="2520"/>
          </w:tcPr>
          <w:p>
            <w:r>
              <w:rPr>
                <w:b/>
                <w:sz w:val="20"/>
              </w:rPr>
              <w:t>Reduction in Concentration</w:t>
            </w:r>
          </w:p>
        </w:tc>
      </w:tr>
      <w:tr>
        <w:tc>
          <w:tcPr>
            <w:tcW w:type="dxa" w:w="2520"/>
          </w:tcPr>
          <w:p>
            <w:r>
              <w:rPr>
                <w:sz w:val="20"/>
              </w:rPr>
              <w:t>WPP</w:t>
            </w:r>
          </w:p>
        </w:tc>
        <w:tc>
          <w:tcPr>
            <w:tcW w:type="dxa" w:w="2520"/>
          </w:tcPr>
          <w:p>
            <w:r>
              <w:rPr>
                <w:sz w:val="20"/>
              </w:rPr>
              <w:t>54%</w:t>
            </w:r>
          </w:p>
        </w:tc>
        <w:tc>
          <w:tcPr>
            <w:tcW w:type="dxa" w:w="2520"/>
          </w:tcPr>
          <w:p>
            <w:r>
              <w:rPr>
                <w:sz w:val="20"/>
              </w:rPr>
              <w:t>40%</w:t>
            </w:r>
          </w:p>
        </w:tc>
        <w:tc>
          <w:tcPr>
            <w:tcW w:type="dxa" w:w="2520"/>
          </w:tcPr>
          <w:p>
            <w:r>
              <w:rPr>
                <w:sz w:val="20"/>
              </w:rPr>
              <w:t>54% → 40% = 25.5% reduction</w:t>
            </w:r>
          </w:p>
        </w:tc>
      </w:tr>
      <w:tr>
        <w:tc>
          <w:tcPr>
            <w:tcW w:type="dxa" w:w="2520"/>
          </w:tcPr>
          <w:p>
            <w:r>
              <w:rPr>
                <w:sz w:val="20"/>
              </w:rPr>
              <w:t>New Alternate Supplier</w:t>
            </w:r>
          </w:p>
        </w:tc>
        <w:tc>
          <w:tcPr>
            <w:tcW w:type="dxa" w:w="2520"/>
          </w:tcPr>
          <w:p>
            <w:r>
              <w:rPr>
                <w:sz w:val="20"/>
              </w:rPr>
              <w:t>0%</w:t>
            </w:r>
          </w:p>
        </w:tc>
        <w:tc>
          <w:tcPr>
            <w:tcW w:type="dxa" w:w="2520"/>
          </w:tcPr>
          <w:p>
            <w:r>
              <w:rPr>
                <w:sz w:val="20"/>
              </w:rPr>
              <w:t>14%</w:t>
            </w:r>
          </w:p>
        </w:tc>
        <w:tc>
          <w:tcPr>
            <w:tcW w:type="dxa" w:w="2520"/>
          </w:tcPr>
          <w:p>
            <w:r>
              <w:rPr>
                <w:sz w:val="20"/>
              </w:rPr>
              <w:t>Enables supplier competition + fallback</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2025</w:t>
            </w:r>
          </w:p>
        </w:tc>
        <w:tc>
          <w:tcPr>
            <w:tcW w:type="dxa" w:w="2520"/>
          </w:tcPr>
          <w:p>
            <w:r>
              <w:rPr>
                <w:b/>
                <w:sz w:val="20"/>
              </w:rPr>
              <w:t>New Target</w:t>
            </w:r>
          </w:p>
        </w:tc>
        <w:tc>
          <w:tcPr>
            <w:tcW w:type="dxa" w:w="2520"/>
          </w:tcPr>
          <w:p>
            <w:r>
              <w:rPr>
                <w:b/>
                <w:sz w:val="20"/>
              </w:rPr>
              <w:t>Net Reduction</w:t>
            </w:r>
          </w:p>
        </w:tc>
      </w:tr>
      <w:tr>
        <w:tc>
          <w:tcPr>
            <w:tcW w:type="dxa" w:w="2520"/>
          </w:tcPr>
          <w:p>
            <w:r>
              <w:rPr>
                <w:sz w:val="20"/>
              </w:rPr>
              <w:t>European Supply Corridor</w:t>
            </w:r>
          </w:p>
        </w:tc>
        <w:tc>
          <w:tcPr>
            <w:tcW w:type="dxa" w:w="2520"/>
          </w:tcPr>
          <w:p>
            <w:r>
              <w:rPr>
                <w:sz w:val="20"/>
              </w:rPr>
              <w:t>54%</w:t>
            </w:r>
          </w:p>
        </w:tc>
        <w:tc>
          <w:tcPr>
            <w:tcW w:type="dxa" w:w="2520"/>
          </w:tcPr>
          <w:p>
            <w:r>
              <w:rPr>
                <w:sz w:val="20"/>
              </w:rPr>
              <w:t>40–50%</w:t>
            </w:r>
          </w:p>
        </w:tc>
        <w:tc>
          <w:tcPr>
            <w:tcW w:type="dxa" w:w="2520"/>
          </w:tcPr>
          <w:p>
            <w:r>
              <w:rPr>
                <w:sz w:val="20"/>
              </w:rPr>
              <w:t>4–14%</w:t>
            </w:r>
          </w:p>
        </w:tc>
      </w:tr>
    </w:tbl>
    <w:p/>
    <w:p>
      <w:pPr>
        <w:pStyle w:val="Heading2"/>
      </w:pPr>
      <w:r>
        <w:rPr>
          <w:color w:val="003366"/>
        </w:rPr>
        <w:t>COST ADVANTAGE PROJECTION FROM ADDING NEW ALTERNATE SUPPLIER INTO MARKETING SERVICES PROCUREMENT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 of New Alternate Supplier Presence</w:t>
            </w:r>
          </w:p>
        </w:tc>
        <w:tc>
          <w:tcPr>
            <w:tcW w:type="dxa" w:w="3360"/>
          </w:tcPr>
          <w:p>
            <w:r>
              <w:rPr>
                <w:b/>
                <w:sz w:val="20"/>
              </w:rPr>
              <w:t>Advantage Driver</w:t>
            </w:r>
          </w:p>
        </w:tc>
        <w:tc>
          <w:tcPr>
            <w:tcW w:type="dxa" w:w="3360"/>
          </w:tcPr>
          <w:p>
            <w:r>
              <w:rPr>
                <w:b/>
                <w:sz w:val="20"/>
              </w:rPr>
              <w:t>Estimated Annual Cost Benefit (USD)</w:t>
            </w:r>
          </w:p>
        </w:tc>
      </w:tr>
      <w:tr>
        <w:tc>
          <w:tcPr>
            <w:tcW w:type="dxa" w:w="3360"/>
          </w:tcPr>
          <w:p>
            <w:r>
              <w:rPr>
                <w:sz w:val="20"/>
              </w:rPr>
              <w:t>India</w:t>
            </w:r>
          </w:p>
        </w:tc>
        <w:tc>
          <w:tcPr>
            <w:tcW w:type="dxa" w:w="3360"/>
          </w:tcPr>
          <w:p>
            <w:r>
              <w:rPr>
                <w:sz w:val="20"/>
              </w:rPr>
              <w:t>Digital services + cost optimization</w:t>
            </w:r>
          </w:p>
        </w:tc>
        <w:tc>
          <w:tcPr>
            <w:tcW w:type="dxa" w:w="3360"/>
          </w:tcPr>
          <w:p>
            <w:r>
              <w:rPr>
                <w:sz w:val="20"/>
              </w:rPr>
              <w:t>$89,181 – $208,089</w:t>
            </w:r>
          </w:p>
        </w:tc>
      </w:tr>
      <w:tr>
        <w:tc>
          <w:tcPr>
            <w:tcW w:type="dxa" w:w="3360"/>
          </w:tcPr>
          <w:p>
            <w:r>
              <w:rPr>
                <w:sz w:val="20"/>
              </w:rPr>
              <w:t>Philippines</w:t>
            </w:r>
          </w:p>
        </w:tc>
        <w:tc>
          <w:tcPr>
            <w:tcW w:type="dxa" w:w="3360"/>
          </w:tcPr>
          <w:p>
            <w:r>
              <w:rPr>
                <w:sz w:val="20"/>
              </w:rPr>
              <w:t>English proficiency + cost efficiency</w:t>
            </w:r>
          </w:p>
        </w:tc>
        <w:tc>
          <w:tcPr>
            <w:tcW w:type="dxa" w:w="3360"/>
          </w:tcPr>
          <w:p>
            <w:r>
              <w:rPr>
                <w:sz w:val="20"/>
              </w:rPr>
              <w:t>$89,181 – $208,089</w:t>
            </w:r>
          </w:p>
        </w:tc>
      </w:tr>
      <w:tr>
        <w:tc>
          <w:tcPr>
            <w:tcW w:type="dxa" w:w="3360"/>
          </w:tcPr>
          <w:p>
            <w:r>
              <w:rPr>
                <w:sz w:val="20"/>
              </w:rPr>
              <w:t>Eastern Europe</w:t>
            </w:r>
          </w:p>
        </w:tc>
        <w:tc>
          <w:tcPr>
            <w:tcW w:type="dxa" w:w="3360"/>
          </w:tcPr>
          <w:p>
            <w:r>
              <w:rPr>
                <w:sz w:val="20"/>
              </w:rPr>
              <w:t>Diversification benefits + competitive pricing in Eastern Europe</w:t>
            </w:r>
          </w:p>
        </w:tc>
        <w:tc>
          <w:tcPr>
            <w:tcW w:type="dxa" w:w="3360"/>
          </w:tcPr>
          <w:p>
            <w:r>
              <w:rPr>
                <w:sz w:val="20"/>
              </w:rPr>
              <w:t>$89,181 – $208,089</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$267,543 – $624,267</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HIGH</w:t>
            </w:r>
          </w:p>
        </w:tc>
        <w:tc>
          <w:tcPr>
            <w:tcW w:type="dxa" w:w="3360"/>
          </w:tcPr>
          <w:p>
            <w:r>
              <w:rPr>
                <w:sz w:val="20"/>
              </w:rPr>
              <w:t>Single supplier dependency level</w:t>
            </w:r>
          </w:p>
        </w:tc>
      </w:tr>
      <w:tr>
        <w:tc>
          <w:tcPr>
            <w:tcW w:type="dxa" w:w="3360"/>
          </w:tcPr>
          <w:p>
            <w:r>
              <w:rPr>
                <w:sz w:val="20"/>
              </w:rPr>
              <w:t>Geographic Risk</w:t>
            </w:r>
          </w:p>
        </w:tc>
        <w:tc>
          <w:tcPr>
            <w:tcW w:type="dxa" w:w="3360"/>
          </w:tcPr>
          <w:p>
            <w:r>
              <w:rPr>
                <w:sz w:val="20"/>
              </w:rPr>
              <w:t>HIGH</w:t>
            </w:r>
          </w:p>
        </w:tc>
        <w:tc>
          <w:tcPr>
            <w:tcW w:type="dxa" w:w="3360"/>
          </w:tcPr>
          <w:p>
            <w:r>
              <w:rPr>
                <w:sz w:val="20"/>
              </w:rPr>
              <w:t>Regional concentration level</w:t>
            </w:r>
          </w:p>
        </w:tc>
      </w:tr>
      <w:tr>
        <w:tc>
          <w:tcPr>
            <w:tcW w:type="dxa" w:w="3360"/>
          </w:tcPr>
          <w:p>
            <w:r>
              <w:rPr>
                <w:sz w:val="20"/>
              </w:rPr>
              <w:t>Supplier Diversity Risk</w:t>
            </w:r>
          </w:p>
        </w:tc>
        <w:tc>
          <w:tcPr>
            <w:tcW w:type="dxa" w:w="3360"/>
          </w:tcPr>
          <w:p>
            <w:r>
              <w:rPr>
                <w:sz w:val="20"/>
              </w:rPr>
              <w:t>MEDIUM</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2.7/4.0</w:t>
            </w:r>
          </w:p>
        </w:tc>
        <w:tc>
          <w:tcPr>
            <w:tcW w:type="dxa" w:w="3360"/>
          </w:tcPr>
          <w:p>
            <w:r>
              <w:rPr>
                <w:sz w:val="20"/>
              </w:rPr>
              <w:t>HIGH</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$267,543 – $624,267</w:t>
            </w:r>
          </w:p>
        </w:tc>
      </w:tr>
      <w:tr>
        <w:tc>
          <w:tcPr>
            <w:tcW w:type="dxa" w:w="5040"/>
          </w:tcPr>
          <w:p>
            <w:r>
              <w:rPr>
                <w:sz w:val="20"/>
              </w:rPr>
              <w:t>Risk Reduction Value</w:t>
            </w:r>
          </w:p>
        </w:tc>
        <w:tc>
          <w:tcPr>
            <w:tcW w:type="dxa" w:w="5040"/>
          </w:tcPr>
          <w:p>
            <w:r>
              <w:rPr>
                <w:sz w:val="20"/>
              </w:rPr>
              <w:t>$17,242</w:t>
            </w:r>
          </w:p>
        </w:tc>
      </w:tr>
      <w:tr>
        <w:tc>
          <w:tcPr>
            <w:tcW w:type="dxa" w:w="5040"/>
          </w:tcPr>
          <w:p>
            <w:r>
              <w:rPr>
                <w:sz w:val="20"/>
              </w:rPr>
              <w:t>Implementation Cost</w:t>
            </w:r>
          </w:p>
        </w:tc>
        <w:tc>
          <w:tcPr>
            <w:tcW w:type="dxa" w:w="5040"/>
          </w:tcPr>
          <w:p>
            <w:r>
              <w:rPr>
                <w:sz w:val="20"/>
              </w:rPr>
              <w:t>$79,272</w:t>
            </w:r>
          </w:p>
        </w:tc>
      </w:tr>
      <w:tr>
        <w:tc>
          <w:tcPr>
            <w:tcW w:type="dxa" w:w="5040"/>
          </w:tcPr>
          <w:p>
            <w:r>
              <w:rPr>
                <w:sz w:val="20"/>
              </w:rPr>
              <w:t>ROI (First Year)</w:t>
            </w:r>
          </w:p>
        </w:tc>
        <w:tc>
          <w:tcPr>
            <w:tcW w:type="dxa" w:w="5040"/>
          </w:tcPr>
          <w:p>
            <w:r>
              <w:rPr>
                <w:sz w:val="20"/>
              </w:rPr>
              <w:t>259% – 709%</w:t>
            </w:r>
          </w:p>
        </w:tc>
      </w:tr>
      <w:tr>
        <w:tc>
          <w:tcPr>
            <w:tcW w:type="dxa" w:w="5040"/>
          </w:tcPr>
          <w:p>
            <w:r>
              <w:rPr>
                <w:sz w:val="20"/>
              </w:rPr>
              <w:t>Payback Period</w:t>
            </w:r>
          </w:p>
        </w:tc>
        <w:tc>
          <w:tcPr>
            <w:tcW w:type="dxa" w:w="5040"/>
          </w:tcPr>
          <w:p>
            <w:r>
              <w:rPr>
                <w:sz w:val="20"/>
              </w:rPr>
              <w:t>1.5 – 3.3 months</w:t>
            </w:r>
          </w:p>
        </w:tc>
      </w:tr>
      <w:tr>
        <w:tc>
          <w:tcPr>
            <w:tcW w:type="dxa" w:w="5040"/>
          </w:tcPr>
          <w:p>
            <w:r>
              <w:rPr>
                <w:sz w:val="20"/>
              </w:rPr>
              <w:t>3-Year Net Benefit</w:t>
            </w:r>
          </w:p>
        </w:tc>
        <w:tc>
          <w:tcPr>
            <w:tcW w:type="dxa" w:w="5040"/>
          </w:tcPr>
          <w:p>
            <w:r>
              <w:rPr>
                <w:sz w:val="20"/>
              </w:rPr>
              <w:t>$775,082 – $1,845,254</w:t>
            </w:r>
          </w:p>
        </w:tc>
      </w:tr>
    </w:tbl>
    <w:p/>
    <w:p>
      <w:pPr>
        <w:pStyle w:val="Heading2"/>
      </w:pPr>
      <w:r>
        <w:rPr>
          <w:color w:val="003366"/>
        </w:rPr>
        <w:t>SUPPLIER PERFORMANCE METRICS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20"/>
              </w:rPr>
              <w:t>Supplier</w:t>
            </w:r>
          </w:p>
        </w:tc>
        <w:tc>
          <w:tcPr>
            <w:tcW w:type="dxa" w:w="2016"/>
          </w:tcPr>
          <w:p>
            <w:r>
              <w:rPr>
                <w:b/>
                <w:sz w:val="20"/>
              </w:rPr>
              <w:t>Spend (USD)</w:t>
            </w:r>
          </w:p>
        </w:tc>
        <w:tc>
          <w:tcPr>
            <w:tcW w:type="dxa" w:w="2016"/>
          </w:tcPr>
          <w:p>
            <w:r>
              <w:rPr>
                <w:b/>
                <w:sz w:val="20"/>
              </w:rPr>
              <w:t>Quality Rating</w:t>
            </w:r>
          </w:p>
        </w:tc>
        <w:tc>
          <w:tcPr>
            <w:tcW w:type="dxa" w:w="2016"/>
          </w:tcPr>
          <w:p>
            <w:r>
              <w:rPr>
                <w:b/>
                <w:sz w:val="20"/>
              </w:rPr>
              <w:t>Delivery %</w:t>
            </w:r>
          </w:p>
        </w:tc>
        <w:tc>
          <w:tcPr>
            <w:tcW w:type="dxa" w:w="2016"/>
          </w:tcPr>
          <w:p>
            <w:r>
              <w:rPr>
                <w:b/>
                <w:sz w:val="20"/>
              </w:rPr>
              <w:t>Sustainability</w:t>
            </w:r>
          </w:p>
        </w:tc>
      </w:tr>
      <w:tr>
        <w:tc>
          <w:tcPr>
            <w:tcW w:type="dxa" w:w="2016"/>
          </w:tcPr>
          <w:p>
            <w:r>
              <w:rPr>
                <w:sz w:val="20"/>
              </w:rPr>
              <w:t>WPP</w:t>
            </w:r>
          </w:p>
        </w:tc>
        <w:tc>
          <w:tcPr>
            <w:tcW w:type="dxa" w:w="2016"/>
          </w:tcPr>
          <w:p>
            <w:r>
              <w:rPr>
                <w:sz w:val="20"/>
              </w:rPr>
              <w:t>$2,127,600</w:t>
            </w:r>
          </w:p>
        </w:tc>
        <w:tc>
          <w:tcPr>
            <w:tcW w:type="dxa" w:w="2016"/>
          </w:tcPr>
          <w:p>
            <w:r>
              <w:rPr>
                <w:sz w:val="20"/>
              </w:rPr>
              <w:t>4.6/5.0</w:t>
            </w:r>
          </w:p>
        </w:tc>
        <w:tc>
          <w:tcPr>
            <w:tcW w:type="dxa" w:w="2016"/>
          </w:tcPr>
          <w:p>
            <w:r>
              <w:rPr>
                <w:sz w:val="20"/>
              </w:rPr>
              <w:t>93%</w:t>
            </w:r>
          </w:p>
        </w:tc>
        <w:tc>
          <w:tcPr>
            <w:tcW w:type="dxa" w:w="2016"/>
          </w:tcPr>
          <w:p>
            <w:r>
              <w:rPr>
                <w:sz w:val="20"/>
              </w:rPr>
              <w:t>8.5/10</w:t>
            </w:r>
          </w:p>
        </w:tc>
      </w:tr>
      <w:tr>
        <w:tc>
          <w:tcPr>
            <w:tcW w:type="dxa" w:w="2016"/>
          </w:tcPr>
          <w:p>
            <w:r>
              <w:rPr>
                <w:sz w:val="20"/>
              </w:rPr>
              <w:t>Omnicom</w:t>
            </w:r>
          </w:p>
        </w:tc>
        <w:tc>
          <w:tcPr>
            <w:tcW w:type="dxa" w:w="2016"/>
          </w:tcPr>
          <w:p>
            <w:r>
              <w:rPr>
                <w:sz w:val="20"/>
              </w:rPr>
              <w:t>$950,400</w:t>
            </w:r>
          </w:p>
        </w:tc>
        <w:tc>
          <w:tcPr>
            <w:tcW w:type="dxa" w:w="2016"/>
          </w:tcPr>
          <w:p>
            <w:r>
              <w:rPr>
                <w:sz w:val="20"/>
              </w:rPr>
              <w:t>4.6/5.0</w:t>
            </w:r>
          </w:p>
        </w:tc>
        <w:tc>
          <w:tcPr>
            <w:tcW w:type="dxa" w:w="2016"/>
          </w:tcPr>
          <w:p>
            <w:r>
              <w:rPr>
                <w:sz w:val="20"/>
              </w:rPr>
              <w:t>92%</w:t>
            </w:r>
          </w:p>
        </w:tc>
        <w:tc>
          <w:tcPr>
            <w:tcW w:type="dxa" w:w="2016"/>
          </w:tcPr>
          <w:p>
            <w:r>
              <w:rPr>
                <w:sz w:val="20"/>
              </w:rPr>
              <w:t>8.4/10</w:t>
            </w:r>
          </w:p>
        </w:tc>
      </w:tr>
      <w:tr>
        <w:tc>
          <w:tcPr>
            <w:tcW w:type="dxa" w:w="2016"/>
          </w:tcPr>
          <w:p>
            <w:r>
              <w:rPr>
                <w:sz w:val="20"/>
              </w:rPr>
              <w:t>Publicis</w:t>
            </w:r>
          </w:p>
        </w:tc>
        <w:tc>
          <w:tcPr>
            <w:tcW w:type="dxa" w:w="2016"/>
          </w:tcPr>
          <w:p>
            <w:r>
              <w:rPr>
                <w:sz w:val="20"/>
              </w:rPr>
              <w:t>$885,600</w:t>
            </w:r>
          </w:p>
        </w:tc>
        <w:tc>
          <w:tcPr>
            <w:tcW w:type="dxa" w:w="2016"/>
          </w:tcPr>
          <w:p>
            <w:r>
              <w:rPr>
                <w:sz w:val="20"/>
              </w:rPr>
              <w:t>4.5/5.0</w:t>
            </w:r>
          </w:p>
        </w:tc>
        <w:tc>
          <w:tcPr>
            <w:tcW w:type="dxa" w:w="2016"/>
          </w:tcPr>
          <w:p>
            <w:r>
              <w:rPr>
                <w:sz w:val="20"/>
              </w:rPr>
              <w:t>91%</w:t>
            </w:r>
          </w:p>
        </w:tc>
        <w:tc>
          <w:tcPr>
            <w:tcW w:type="dxa" w:w="2016"/>
          </w:tcPr>
          <w:p>
            <w:r>
              <w:rPr>
                <w:sz w:val="20"/>
              </w:rPr>
              <w:t>8.3/10</w:t>
            </w:r>
          </w:p>
        </w:tc>
      </w:tr>
    </w:tbl>
    <w:p/>
    <w:p>
      <w:pPr>
        <w:pStyle w:val="Heading2"/>
      </w:pPr>
      <w:r>
        <w:rPr>
          <w:color w:val="003366"/>
        </w:rPr>
        <w:t>RULE COMPLIANCE STATUS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Value</w:t>
            </w:r>
          </w:p>
        </w:tc>
      </w:tr>
      <w:tr>
        <w:tc>
          <w:tcPr>
            <w:tcW w:type="dxa" w:w="5040"/>
          </w:tcPr>
          <w:p>
            <w:r>
              <w:rPr>
                <w:sz w:val="20"/>
              </w:rPr>
              <w:t>Overall Status</w:t>
            </w:r>
          </w:p>
        </w:tc>
        <w:tc>
          <w:tcPr>
            <w:tcW w:type="dxa" w:w="5040"/>
          </w:tcPr>
          <w:p>
            <w:r>
              <w:rPr>
                <w:sz w:val="20"/>
              </w:rPr>
              <w:t>CRITICAL</w:t>
            </w:r>
          </w:p>
        </w:tc>
      </w:tr>
      <w:tr>
        <w:tc>
          <w:tcPr>
            <w:tcW w:type="dxa" w:w="5040"/>
          </w:tcPr>
          <w:p>
            <w:r>
              <w:rPr>
                <w:sz w:val="20"/>
              </w:rPr>
              <w:t>Total Violations</w:t>
            </w:r>
          </w:p>
        </w:tc>
        <w:tc>
          <w:tcPr>
            <w:tcW w:type="dxa" w:w="5040"/>
          </w:tcPr>
          <w:p>
            <w:r>
              <w:rPr>
                <w:sz w:val="20"/>
              </w:rPr>
              <w:t>2</w:t>
            </w:r>
          </w:p>
        </w:tc>
      </w:tr>
      <w:tr>
        <w:tc>
          <w:tcPr>
            <w:tcW w:type="dxa" w:w="5040"/>
          </w:tcPr>
          <w:p>
            <w:r>
              <w:rPr>
                <w:sz w:val="20"/>
              </w:rPr>
              <w:t>Total Warnings</w:t>
            </w:r>
          </w:p>
        </w:tc>
        <w:tc>
          <w:tcPr>
            <w:tcW w:type="dxa" w:w="5040"/>
          </w:tcPr>
          <w:p>
            <w:r>
              <w:rPr>
                <w:sz w:val="20"/>
              </w:rPr>
              <w:t>1</w:t>
            </w:r>
          </w:p>
        </w:tc>
      </w:tr>
      <w:tr>
        <w:tc>
          <w:tcPr>
            <w:tcW w:type="dxa" w:w="5040"/>
          </w:tcPr>
          <w:p>
            <w:r>
              <w:rPr>
                <w:sz w:val="20"/>
              </w:rPr>
              <w:t>Compliance Rate</w:t>
            </w:r>
          </w:p>
        </w:tc>
        <w:tc>
          <w:tcPr>
            <w:tcW w:type="dxa" w:w="5040"/>
          </w:tcPr>
          <w:p>
            <w:r>
              <w:rPr>
                <w:sz w:val="20"/>
              </w:rPr>
              <w:t>25%</w:t>
            </w:r>
          </w:p>
        </w:tc>
      </w:tr>
    </w:tbl>
    <w:p/>
    <w:p>
      <w:r>
        <w:rPr>
          <w:b/>
        </w:rPr>
        <w:t>Violations Detected:</w:t>
      </w:r>
    </w:p>
    <w:p>
      <w:pPr>
        <w:pStyle w:val="ListBullet"/>
      </w:pPr>
      <w:r>
        <w:t>R001: Regional Concentration</w:t>
      </w:r>
    </w:p>
    <w:p>
      <w:pPr>
        <w:pStyle w:val="ListBullet"/>
      </w:pPr>
      <w:r>
        <w:t>R023: Supplier Concentration Index</w:t>
      </w:r>
    </w:p>
    <w:p/>
    <w:p>
      <w:pPr>
        <w:pStyle w:val="Heading2"/>
      </w:pPr>
      <w:r>
        <w:rPr>
          <w:color w:val="003366"/>
        </w:rPr>
        <w:t>STRATEGIC OUTCOME</w:t>
      </w:r>
    </w:p>
    <w:p>
      <w:pPr>
        <w:pStyle w:val="ListBullet"/>
      </w:pPr>
      <w:r>
        <w:t>Reduce single-supplier concentration from 54% to 40% in Phase 1</w:t>
      </w:r>
    </w:p>
    <w:p>
      <w:pPr>
        <w:pStyle w:val="ListBullet"/>
      </w:pPr>
      <w:r>
        <w:t>Activate 14% of spend via new qualified suppliers with multi-region presence</w:t>
      </w:r>
    </w:p>
    <w:p>
      <w:pPr>
        <w:pStyle w:val="ListBullet"/>
      </w:pPr>
      <w:r>
        <w:t>Improve pricing leverage through supplier competition</w:t>
      </w:r>
    </w:p>
    <w:p>
      <w:pPr>
        <w:pStyle w:val="ListBullet"/>
      </w:pPr>
      <w:r>
        <w:t>Reduce european supply corridor risk by ~4%</w:t>
      </w:r>
    </w:p>
    <w:p>
      <w:pPr>
        <w:pStyle w:val="ListBullet"/>
      </w:pPr>
      <w:r>
        <w:t>Achieve estimated annual cost advantage of USD 267,543–624,267 while improving supply continuity</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Activate marketing services with qualified alternate suppliers</w:t>
      </w:r>
    </w:p>
    <w:p>
      <w:r>
        <w:t>2. Initiate 8–12 week pilot allocations</w:t>
      </w:r>
    </w:p>
    <w:p>
      <w:r>
        <w:t>3. Benchmark pricing and delivery quarterly</w:t>
      </w:r>
    </w:p>
    <w:p>
      <w:r>
        <w:t>4. Continue phased reduction based on pilot performance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