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PALM OIL PROCUREMENT DIVERSIFICATION</w:t>
      </w:r>
    </w:p>
    <w:p>
      <w:pPr>
        <w:jc w:val="center"/>
      </w:pPr>
      <w:r>
        <w:rPr>
          <w:b/>
          <w:sz w:val="22"/>
        </w:rPr>
        <w:t>Assumed Total Category Spend 2024: USD 864,000</w:t>
      </w:r>
    </w:p>
    <w:p/>
    <w:p>
      <w:pPr>
        <w:pStyle w:val="Heading2"/>
      </w:pPr>
      <w:r>
        <w:t>CURRENT STATE – SUPPLIER CONCENTRATION RISK</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2024 Original</w:t>
            </w:r>
          </w:p>
        </w:tc>
      </w:tr>
      <w:tr>
        <w:tc>
          <w:tcPr>
            <w:tcW w:type="dxa" w:w="5040"/>
          </w:tcPr>
          <w:p>
            <w:r>
              <w:t>Supplier</w:t>
            </w:r>
          </w:p>
        </w:tc>
        <w:tc>
          <w:tcPr>
            <w:tcW w:type="dxa" w:w="5040"/>
          </w:tcPr>
          <w:p>
            <w:r>
              <w:t>Indo Palm Corp</w:t>
            </w:r>
          </w:p>
        </w:tc>
      </w:tr>
      <w:tr>
        <w:tc>
          <w:tcPr>
            <w:tcW w:type="dxa" w:w="5040"/>
          </w:tcPr>
          <w:p>
            <w:r>
              <w:t>Supplier Location</w:t>
            </w:r>
          </w:p>
        </w:tc>
        <w:tc>
          <w:tcPr>
            <w:tcW w:type="dxa" w:w="5040"/>
          </w:tcPr>
          <w:p>
            <w:r>
              <w:t>APAC</w:t>
            </w:r>
          </w:p>
        </w:tc>
      </w:tr>
      <w:tr>
        <w:tc>
          <w:tcPr>
            <w:tcW w:type="dxa" w:w="5040"/>
          </w:tcPr>
          <w:p>
            <w:r>
              <w:t>Spend Share</w:t>
            </w:r>
          </w:p>
        </w:tc>
        <w:tc>
          <w:tcPr>
            <w:tcW w:type="dxa" w:w="5040"/>
          </w:tcPr>
          <w:p>
            <w:r>
              <w:t>100% = USD 864,000</w:t>
            </w:r>
          </w:p>
        </w:tc>
      </w:tr>
      <w:tr>
        <w:tc>
          <w:tcPr>
            <w:tcW w:type="dxa" w:w="5040"/>
          </w:tcPr>
          <w:p>
            <w:r>
              <w:t>Current Palm Oil Buying from Supplier</w:t>
            </w:r>
          </w:p>
        </w:tc>
        <w:tc>
          <w:tcPr>
            <w:tcW w:type="dxa" w:w="5040"/>
          </w:tcPr>
          <w:p>
            <w:r>
              <w:t>Yes</w:t>
            </w:r>
          </w:p>
        </w:tc>
      </w:tr>
      <w:tr>
        <w:tc>
          <w:tcPr>
            <w:tcW w:type="dxa" w:w="5040"/>
          </w:tcPr>
          <w:p>
            <w:r>
              <w:t>Alternate Supplier for Palm Oil</w:t>
            </w:r>
          </w:p>
        </w:tc>
        <w:tc>
          <w:tcPr>
            <w:tcW w:type="dxa" w:w="5040"/>
          </w:tcPr>
          <w:p>
            <w:r>
              <w:t>Mediterranean Oils</w:t>
            </w:r>
          </w:p>
        </w:tc>
      </w:tr>
      <w:tr>
        <w:tc>
          <w:tcPr>
            <w:tcW w:type="dxa" w:w="5040"/>
          </w:tcPr>
          <w:p>
            <w:r>
              <w:t>Key Risk</w:t>
            </w:r>
          </w:p>
        </w:tc>
        <w:tc>
          <w:tcPr>
            <w:tcW w:type="dxa" w:w="5040"/>
          </w:tcPr>
          <w:p>
            <w:r>
              <w:t>Single-supplier dependency and APAC supply corridor concentration</w:t>
            </w:r>
          </w:p>
        </w:tc>
      </w:tr>
    </w:tbl>
    <w:p/>
    <w:p>
      <w:pPr>
        <w:pStyle w:val="Heading3"/>
      </w:pPr>
      <w:r>
        <w:t>OVERALL RISK STATEMENT</w:t>
      </w:r>
    </w:p>
    <w:p>
      <w:r>
        <w:t xml:space="preserve">Our current palm oil procurement is sourced entirely from Indo Palm Corp, representing 100% of the total category spend (USD 864,000 in January 2026). All suppliers operate from APAC. We currently do not source palm oil from Mediterranean Oils, an already approved Edible Oils supplier in our system with operational presence across Spain, Ukraine, Malaysia, USA. </w:t>
        <w:br/>
        <w:br/>
        <w:t>This creates both a critical single-supplier dependency risk and a correlated geographic concentration risk. It is recommended to activate palm oil with Mediterranean Oils to offset this dependency, introduce price competition, diversify geographic exposure, and enable alternate logistics routing, while continuing optimization and quarterly rebalancing.</w:t>
      </w:r>
    </w:p>
    <w:p/>
    <w:p>
      <w:pPr>
        <w:pStyle w:val="Heading2"/>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Original Share</w:t>
            </w:r>
          </w:p>
        </w:tc>
        <w:tc>
          <w:tcPr>
            <w:tcW w:type="dxa" w:w="3360"/>
          </w:tcPr>
          <w:p>
            <w:r>
              <w:rPr>
                <w:b/>
              </w:rPr>
              <w:t>New Target Cap</w:t>
            </w:r>
          </w:p>
        </w:tc>
      </w:tr>
      <w:tr>
        <w:tc>
          <w:tcPr>
            <w:tcW w:type="dxa" w:w="3360"/>
          </w:tcPr>
          <w:p>
            <w:r>
              <w:t>Indo Palm Corp</w:t>
            </w:r>
          </w:p>
        </w:tc>
        <w:tc>
          <w:tcPr>
            <w:tcW w:type="dxa" w:w="3360"/>
          </w:tcPr>
          <w:p>
            <w:r>
              <w:t>100%</w:t>
            </w:r>
          </w:p>
        </w:tc>
        <w:tc>
          <w:tcPr>
            <w:tcW w:type="dxa" w:w="3360"/>
          </w:tcPr>
          <w:p>
            <w:r>
              <w:t>62%</w:t>
            </w:r>
          </w:p>
        </w:tc>
      </w:tr>
      <w:tr>
        <w:tc>
          <w:tcPr>
            <w:tcW w:type="dxa" w:w="3360"/>
          </w:tcPr>
          <w:p>
            <w:r>
              <w:t>Mediterranean Oils</w:t>
            </w:r>
          </w:p>
        </w:tc>
        <w:tc>
          <w:tcPr>
            <w:tcW w:type="dxa" w:w="3360"/>
          </w:tcPr>
          <w:p>
            <w:r>
              <w:t>0%</w:t>
            </w:r>
          </w:p>
        </w:tc>
        <w:tc>
          <w:tcPr>
            <w:tcW w:type="dxa" w:w="3360"/>
          </w:tcPr>
          <w:p>
            <w:r>
              <w:t>38%</w:t>
            </w:r>
          </w:p>
        </w:tc>
      </w:tr>
    </w:tbl>
    <w:p/>
    <w:p>
      <w:pPr>
        <w:pStyle w:val="Heading2"/>
      </w:pPr>
      <w:r>
        <w:t>REGIONAL DEPENDENCY IMPROVEMENT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Original 2024</w:t>
            </w:r>
          </w:p>
        </w:tc>
        <w:tc>
          <w:tcPr>
            <w:tcW w:type="dxa" w:w="3360"/>
          </w:tcPr>
          <w:p>
            <w:r>
              <w:rPr>
                <w:b/>
              </w:rPr>
              <w:t>New Target</w:t>
            </w:r>
          </w:p>
        </w:tc>
      </w:tr>
      <w:tr>
        <w:tc>
          <w:tcPr>
            <w:tcW w:type="dxa" w:w="3360"/>
          </w:tcPr>
          <w:p>
            <w:r>
              <w:t>Southeast Asia Supply Corridor</w:t>
            </w:r>
          </w:p>
        </w:tc>
        <w:tc>
          <w:tcPr>
            <w:tcW w:type="dxa" w:w="3360"/>
          </w:tcPr>
          <w:p>
            <w:r>
              <w:t>100%</w:t>
            </w:r>
          </w:p>
        </w:tc>
        <w:tc>
          <w:tcPr>
            <w:tcW w:type="dxa" w:w="3360"/>
          </w:tcPr>
          <w:p>
            <w:r>
              <w:t>58–63%</w:t>
            </w:r>
          </w:p>
        </w:tc>
      </w:tr>
    </w:tbl>
    <w:p/>
    <w:p>
      <w:pPr>
        <w:pStyle w:val="Heading2"/>
      </w:pPr>
      <w:r>
        <w:t>COST ADVANTAGE PROJECTION FROM ADDING MEDITERRANEAN OILS INTO PALM OIL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Region of Mediterranean Oils Presence</w:t>
            </w:r>
          </w:p>
        </w:tc>
        <w:tc>
          <w:tcPr>
            <w:tcW w:type="dxa" w:w="3360"/>
          </w:tcPr>
          <w:p>
            <w:r>
              <w:rPr>
                <w:b/>
              </w:rPr>
              <w:t>Advantage Driver</w:t>
            </w:r>
          </w:p>
        </w:tc>
        <w:tc>
          <w:tcPr>
            <w:tcW w:type="dxa" w:w="3360"/>
          </w:tcPr>
          <w:p>
            <w:r>
              <w:rPr>
                <w:b/>
              </w:rPr>
              <w:t>Estimated Annual Cost Benefit (USD)</w:t>
            </w:r>
          </w:p>
        </w:tc>
      </w:tr>
    </w:tbl>
    <w:p/>
    <w:p>
      <w:pPr>
        <w:pStyle w:val="Heading2"/>
      </w:pPr>
      <w:r>
        <w:t>STRATEGIC OUTCOME</w:t>
      </w:r>
    </w:p>
    <w:p>
      <w:pPr>
        <w:pStyle w:val="ListBullet"/>
      </w:pPr>
      <w:r>
        <w:t>Reduce single-supplier concentration from 100%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0–0 while improving supply continuity resilience</w:t>
      </w:r>
    </w:p>
    <w:p/>
    <w:p>
      <w:pPr>
        <w:pStyle w:val="Heading2"/>
      </w:pPr>
      <w:r>
        <w:t>NEXT STEPS</w:t>
      </w:r>
    </w:p>
    <w:p>
      <w:pPr>
        <w:pStyle w:val="ListNumber"/>
      </w:pPr>
      <w:r>
        <w:t>Activate Palm Oil with Mediterranean Oils</w:t>
      </w:r>
    </w:p>
    <w:p>
      <w:pPr>
        <w:pStyle w:val="ListNumber"/>
      </w:pPr>
      <w:r>
        <w:t>Initiate 8–12 week pilot allocations</w:t>
      </w:r>
    </w:p>
    <w:p>
      <w:pPr>
        <w:pStyle w:val="ListNumber"/>
      </w:pPr>
      <w:r>
        <w:t>Benchmark pricing and delivery quarterly</w:t>
      </w:r>
    </w:p>
    <w:p>
      <w:pPr>
        <w:pStyle w:val="ListNumber"/>
      </w:pPr>
      <w:r>
        <w:t>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