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PALM OIL DIVERSIFICATION</w:t>
      </w:r>
    </w:p>
    <w:p>
      <w:pPr>
        <w:jc w:val="center"/>
      </w:pPr>
      <w:r>
        <w:rPr>
          <w:i/>
          <w:sz w:val="22"/>
        </w:rPr>
        <w:t>Supplier Concentration Analysis &amp; Diversification Strategy</w:t>
      </w:r>
    </w:p>
    <w:p>
      <w:pPr>
        <w:jc w:val="center"/>
      </w:pPr>
      <w:r>
        <w:rPr>
          <w:b/>
          <w:sz w:val="24"/>
        </w:rPr>
        <w:t>Total Category Spend 2025: USD 864,000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Indo Palm Corp</w:t>
            </w:r>
          </w:p>
        </w:tc>
      </w:tr>
      <w:tr>
        <w:tc>
          <w:tcPr>
            <w:tcW w:type="dxa" w:w="5040"/>
          </w:tcPr>
          <w:p>
            <w:r>
              <w:rPr>
                <w:sz w:val="20"/>
              </w:rPr>
              <w:t>Supplier Location</w:t>
            </w:r>
          </w:p>
        </w:tc>
        <w:tc>
          <w:tcPr>
            <w:tcW w:type="dxa" w:w="5040"/>
          </w:tcPr>
          <w:p>
            <w:r>
              <w:rPr>
                <w:sz w:val="20"/>
              </w:rPr>
              <w:t>Indonesia</w:t>
            </w:r>
          </w:p>
        </w:tc>
      </w:tr>
      <w:tr>
        <w:tc>
          <w:tcPr>
            <w:tcW w:type="dxa" w:w="5040"/>
          </w:tcPr>
          <w:p>
            <w:r>
              <w:rPr>
                <w:sz w:val="20"/>
              </w:rPr>
              <w:t>Spend Share</w:t>
            </w:r>
          </w:p>
        </w:tc>
        <w:tc>
          <w:tcPr>
            <w:tcW w:type="dxa" w:w="5040"/>
          </w:tcPr>
          <w:p>
            <w:r>
              <w:rPr>
                <w:sz w:val="20"/>
              </w:rPr>
              <w:t>100% = USD 864,000</w:t>
            </w:r>
          </w:p>
        </w:tc>
      </w:tr>
      <w:tr>
        <w:tc>
          <w:tcPr>
            <w:tcW w:type="dxa" w:w="5040"/>
          </w:tcPr>
          <w:p>
            <w:r>
              <w:rPr>
                <w:sz w:val="20"/>
              </w:rPr>
              <w:t>Current Palm Oil Buying from Supplier</w:t>
            </w:r>
          </w:p>
        </w:tc>
        <w:tc>
          <w:tcPr>
            <w:tcW w:type="dxa" w:w="5040"/>
          </w:tcPr>
          <w:p>
            <w:r>
              <w:rPr>
                <w:sz w:val="20"/>
              </w:rPr>
              <w:t>Yes</w:t>
            </w:r>
          </w:p>
        </w:tc>
      </w:tr>
      <w:tr>
        <w:tc>
          <w:tcPr>
            <w:tcW w:type="dxa" w:w="5040"/>
          </w:tcPr>
          <w:p>
            <w:r>
              <w:rPr>
                <w:sz w:val="20"/>
              </w:rPr>
              <w:t>Alternate Supplier for Palm Oil</w:t>
            </w:r>
          </w:p>
        </w:tc>
        <w:tc>
          <w:tcPr>
            <w:tcW w:type="dxa" w:w="5040"/>
          </w:tcPr>
          <w:p>
            <w:r>
              <w:rPr>
                <w:sz w:val="20"/>
              </w:rPr>
              <w:t>Mediterranean Oils</w:t>
            </w:r>
          </w:p>
        </w:tc>
      </w:tr>
      <w:tr>
        <w:tc>
          <w:tcPr>
            <w:tcW w:type="dxa" w:w="5040"/>
          </w:tcPr>
          <w:p>
            <w:r>
              <w:rPr>
                <w:sz w:val="20"/>
              </w:rPr>
              <w:t>Key Risk</w:t>
            </w:r>
          </w:p>
        </w:tc>
        <w:tc>
          <w:tcPr>
            <w:tcW w:type="dxa" w:w="5040"/>
          </w:tcPr>
          <w:p>
            <w:r>
              <w:rPr>
                <w:sz w:val="20"/>
              </w:rPr>
              <w:t>Extreme single-supplier lock-in and APAC supply corridor dependency</w:t>
            </w:r>
          </w:p>
        </w:tc>
      </w:tr>
    </w:tbl>
    <w:p/>
    <w:p>
      <w:pPr>
        <w:pStyle w:val="Heading3"/>
      </w:pPr>
      <w:r>
        <w:rPr>
          <w:color w:val="003366"/>
        </w:rPr>
        <w:t>OVERALL RISK STATEMENT</w:t>
      </w:r>
    </w:p>
    <w:p>
      <w:pPr>
        <w:spacing w:after="240"/>
      </w:pPr>
      <w:r>
        <w:t xml:space="preserve">Our current palm oil procurement is sourced entirely from Indo Palm Corp, representing 100% of the total category spend (USD 864,000 in 2025). All suppliers operate from Indonesia. We currently do not source palm oil from Mediterranean Oils, an already approved Edible Oils supplier in our system with operational presence across Spain, Ukraine, Malaysia, USA. </w:t>
        <w:br/>
        <w:br/>
        <w:t>This creates both a critical single-supplier dependency risk and a correlated geographic concentration risk. It is recommended to activate palm oil with Mediterranean Oils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Indo Palm Corp</w:t>
            </w:r>
          </w:p>
        </w:tc>
        <w:tc>
          <w:tcPr>
            <w:tcW w:type="dxa" w:w="2520"/>
          </w:tcPr>
          <w:p>
            <w:r>
              <w:rPr>
                <w:sz w:val="20"/>
              </w:rPr>
              <w:t>100%</w:t>
            </w:r>
          </w:p>
        </w:tc>
        <w:tc>
          <w:tcPr>
            <w:tcW w:type="dxa" w:w="2520"/>
          </w:tcPr>
          <w:p>
            <w:r>
              <w:rPr>
                <w:sz w:val="20"/>
              </w:rPr>
              <w:t>60%</w:t>
            </w:r>
          </w:p>
        </w:tc>
        <w:tc>
          <w:tcPr>
            <w:tcW w:type="dxa" w:w="2520"/>
          </w:tcPr>
          <w:p>
            <w:r>
              <w:rPr>
                <w:sz w:val="20"/>
              </w:rPr>
              <w:t>100% → 60% = 40.0% reduction</w:t>
            </w:r>
          </w:p>
        </w:tc>
      </w:tr>
      <w:tr>
        <w:tc>
          <w:tcPr>
            <w:tcW w:type="dxa" w:w="2520"/>
          </w:tcPr>
          <w:p>
            <w:r>
              <w:rPr>
                <w:sz w:val="20"/>
              </w:rPr>
              <w:t>Mediterranean Oils</w:t>
            </w:r>
          </w:p>
        </w:tc>
        <w:tc>
          <w:tcPr>
            <w:tcW w:type="dxa" w:w="2520"/>
          </w:tcPr>
          <w:p>
            <w:r>
              <w:rPr>
                <w:sz w:val="20"/>
              </w:rPr>
              <w:t>0%</w:t>
            </w:r>
          </w:p>
        </w:tc>
        <w:tc>
          <w:tcPr>
            <w:tcW w:type="dxa" w:w="2520"/>
          </w:tcPr>
          <w:p>
            <w:r>
              <w:rPr>
                <w:sz w:val="20"/>
              </w:rPr>
              <w:t>40%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Southeast Asia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MEDITERRANEAN OILS INTO PALM OIL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Mediterranean Oils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Spain</w:t>
            </w:r>
          </w:p>
        </w:tc>
        <w:tc>
          <w:tcPr>
            <w:tcW w:type="dxa" w:w="3360"/>
          </w:tcPr>
          <w:p>
            <w:r>
              <w:rPr>
                <w:sz w:val="20"/>
              </w:rPr>
              <w:t>Diversification benefits + competitive pricing in Spain</w:t>
            </w:r>
          </w:p>
        </w:tc>
        <w:tc>
          <w:tcPr>
            <w:tcW w:type="dxa" w:w="3360"/>
          </w:tcPr>
          <w:p>
            <w:r>
              <w:rPr>
                <w:sz w:val="20"/>
              </w:rPr>
              <w:t>$10,368 – $25,920</w:t>
            </w:r>
          </w:p>
        </w:tc>
      </w:tr>
      <w:tr>
        <w:tc>
          <w:tcPr>
            <w:tcW w:type="dxa" w:w="3360"/>
          </w:tcPr>
          <w:p>
            <w:r>
              <w:rPr>
                <w:sz w:val="20"/>
              </w:rPr>
              <w:t>Ukraine</w:t>
            </w:r>
          </w:p>
        </w:tc>
        <w:tc>
          <w:tcPr>
            <w:tcW w:type="dxa" w:w="3360"/>
          </w:tcPr>
          <w:p>
            <w:r>
              <w:rPr>
                <w:sz w:val="20"/>
              </w:rPr>
              <w:t>Diversification benefits + competitive pricing in Ukraine</w:t>
            </w:r>
          </w:p>
        </w:tc>
        <w:tc>
          <w:tcPr>
            <w:tcW w:type="dxa" w:w="3360"/>
          </w:tcPr>
          <w:p>
            <w:r>
              <w:rPr>
                <w:sz w:val="20"/>
              </w:rPr>
              <w:t>$10,368 – $25,920</w:t>
            </w:r>
          </w:p>
        </w:tc>
      </w:tr>
      <w:tr>
        <w:tc>
          <w:tcPr>
            <w:tcW w:type="dxa" w:w="3360"/>
          </w:tcPr>
          <w:p>
            <w:r>
              <w:rPr>
                <w:sz w:val="20"/>
              </w:rPr>
              <w:t>Malaysia</w:t>
            </w:r>
          </w:p>
        </w:tc>
        <w:tc>
          <w:tcPr>
            <w:tcW w:type="dxa" w:w="3360"/>
          </w:tcPr>
          <w:p>
            <w:r>
              <w:rPr>
                <w:sz w:val="20"/>
              </w:rPr>
              <w:t>Established supply chains + quality standards</w:t>
            </w:r>
          </w:p>
        </w:tc>
        <w:tc>
          <w:tcPr>
            <w:tcW w:type="dxa" w:w="3360"/>
          </w:tcPr>
          <w:p>
            <w:r>
              <w:rPr>
                <w:sz w:val="20"/>
              </w:rPr>
              <w:t>$10,368 – $25,920</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$31,104 – $77,760</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CRITICAL</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4.0/4.0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$31,104 – $77,760</w:t>
            </w:r>
          </w:p>
        </w:tc>
      </w:tr>
      <w:tr>
        <w:tc>
          <w:tcPr>
            <w:tcW w:type="dxa" w:w="5040"/>
          </w:tcPr>
          <w:p>
            <w:r>
              <w:rPr>
                <w:sz w:val="20"/>
              </w:rPr>
              <w:t>Risk Reduction Value</w:t>
            </w:r>
          </w:p>
        </w:tc>
        <w:tc>
          <w:tcPr>
            <w:tcW w:type="dxa" w:w="5040"/>
          </w:tcPr>
          <w:p>
            <w:r>
              <w:rPr>
                <w:sz w:val="20"/>
              </w:rPr>
              <w:t>$11,880</w:t>
            </w:r>
          </w:p>
        </w:tc>
      </w:tr>
      <w:tr>
        <w:tc>
          <w:tcPr>
            <w:tcW w:type="dxa" w:w="5040"/>
          </w:tcPr>
          <w:p>
            <w:r>
              <w:rPr>
                <w:sz w:val="20"/>
              </w:rPr>
              <w:t>Implementation Cost</w:t>
            </w:r>
          </w:p>
        </w:tc>
        <w:tc>
          <w:tcPr>
            <w:tcW w:type="dxa" w:w="5040"/>
          </w:tcPr>
          <w:p>
            <w:r>
              <w:rPr>
                <w:sz w:val="20"/>
              </w:rPr>
              <w:t>$17,280</w:t>
            </w:r>
          </w:p>
        </w:tc>
      </w:tr>
      <w:tr>
        <w:tc>
          <w:tcPr>
            <w:tcW w:type="dxa" w:w="5040"/>
          </w:tcPr>
          <w:p>
            <w:r>
              <w:rPr>
                <w:sz w:val="20"/>
              </w:rPr>
              <w:t>ROI (First Year)</w:t>
            </w:r>
          </w:p>
        </w:tc>
        <w:tc>
          <w:tcPr>
            <w:tcW w:type="dxa" w:w="5040"/>
          </w:tcPr>
          <w:p>
            <w:r>
              <w:rPr>
                <w:sz w:val="20"/>
              </w:rPr>
              <w:t>149% – 419%</w:t>
            </w:r>
          </w:p>
        </w:tc>
      </w:tr>
      <w:tr>
        <w:tc>
          <w:tcPr>
            <w:tcW w:type="dxa" w:w="5040"/>
          </w:tcPr>
          <w:p>
            <w:r>
              <w:rPr>
                <w:sz w:val="20"/>
              </w:rPr>
              <w:t>Payback Period</w:t>
            </w:r>
          </w:p>
        </w:tc>
        <w:tc>
          <w:tcPr>
            <w:tcW w:type="dxa" w:w="5040"/>
          </w:tcPr>
          <w:p>
            <w:r>
              <w:rPr>
                <w:sz w:val="20"/>
              </w:rPr>
              <w:t>2.3 – 4.8 months</w:t>
            </w:r>
          </w:p>
        </w:tc>
      </w:tr>
      <w:tr>
        <w:tc>
          <w:tcPr>
            <w:tcW w:type="dxa" w:w="5040"/>
          </w:tcPr>
          <w:p>
            <w:r>
              <w:rPr>
                <w:sz w:val="20"/>
              </w:rPr>
              <w:t>3-Year Net Benefit</w:t>
            </w:r>
          </w:p>
        </w:tc>
        <w:tc>
          <w:tcPr>
            <w:tcW w:type="dxa" w:w="5040"/>
          </w:tcPr>
          <w:p>
            <w:r>
              <w:rPr>
                <w:sz w:val="20"/>
              </w:rPr>
              <w:t>$111,672 – $251,640</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Indo Palm Corp</w:t>
            </w:r>
          </w:p>
        </w:tc>
        <w:tc>
          <w:tcPr>
            <w:tcW w:type="dxa" w:w="2016"/>
          </w:tcPr>
          <w:p>
            <w:r>
              <w:rPr>
                <w:sz w:val="20"/>
              </w:rPr>
              <w:t>$864,000</w:t>
            </w:r>
          </w:p>
        </w:tc>
        <w:tc>
          <w:tcPr>
            <w:tcW w:type="dxa" w:w="2016"/>
          </w:tcPr>
          <w:p>
            <w:r>
              <w:rPr>
                <w:sz w:val="20"/>
              </w:rPr>
              <w:t>4.4/5.0</w:t>
            </w:r>
          </w:p>
        </w:tc>
        <w:tc>
          <w:tcPr>
            <w:tcW w:type="dxa" w:w="2016"/>
          </w:tcPr>
          <w:p>
            <w:r>
              <w:rPr>
                <w:sz w:val="20"/>
              </w:rPr>
              <w:t>91%</w:t>
            </w:r>
          </w:p>
        </w:tc>
        <w:tc>
          <w:tcPr>
            <w:tcW w:type="dxa" w:w="2016"/>
          </w:tcPr>
          <w:p>
            <w:r>
              <w:rPr>
                <w:sz w:val="20"/>
              </w:rPr>
              <w:t>7.5/10</w:t>
            </w:r>
          </w:p>
        </w:tc>
      </w:tr>
    </w:tbl>
    <w:p/>
    <w:p>
      <w:pPr>
        <w:pStyle w:val="Heading2"/>
      </w:pPr>
      <w:r>
        <w:rPr>
          <w:color w:val="003366"/>
        </w:rPr>
        <w:t>STRATEGIC OUTCOME</w:t>
      </w:r>
    </w:p>
    <w:p>
      <w:pPr>
        <w:pStyle w:val="ListBullet"/>
      </w:pPr>
      <w:r>
        <w:t>Reduce single-supplier concentration from 100% to 60% in Phase 1</w:t>
      </w:r>
    </w:p>
    <w:p>
      <w:pPr>
        <w:pStyle w:val="ListBullet"/>
      </w:pPr>
      <w:r>
        <w:t>Activate 40% of spend via incumbent supplier (Mediterranean Oils) with multi-region presence</w:t>
      </w:r>
    </w:p>
    <w:p>
      <w:pPr>
        <w:pStyle w:val="ListBullet"/>
      </w:pPr>
      <w:r>
        <w:t>Improve pricing leverage through supplier competition</w:t>
      </w:r>
    </w:p>
    <w:p>
      <w:pPr>
        <w:pStyle w:val="ListBullet"/>
      </w:pPr>
      <w:r>
        <w:t>Reduce southeast asia supply corridor risk by ~25%</w:t>
      </w:r>
    </w:p>
    <w:p>
      <w:pPr>
        <w:pStyle w:val="ListBullet"/>
      </w:pPr>
      <w:r>
        <w:t>Achieve estimated annual cost advantage of USD 31,104–77,760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palm oil with Mediterranean Oils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