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LEADERSHIP BRIEF – PROCUREMENT PROCUREMENT DIVERSIFICATION</w:t>
      </w:r>
    </w:p>
    <w:p>
      <w:pPr>
        <w:jc w:val="center"/>
      </w:pPr>
      <w:r>
        <w:rPr>
          <w:b/>
          <w:sz w:val="22"/>
        </w:rPr>
        <w:t>Assumed Total Category Spend 2024: USD 0</w:t>
      </w:r>
    </w:p>
    <w:p/>
    <w:p>
      <w:pPr>
        <w:pStyle w:val="Heading2"/>
      </w:pPr>
      <w:r>
        <w:t>CURRENT STATE – SUPPLIER CONCENTRATION RISK</w:t>
      </w:r>
    </w:p>
    <w:tbl>
      <w:tblPr>
        <w:tblStyle w:val="LightGrid-Accent1"/>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2024 Original</w:t>
            </w:r>
          </w:p>
        </w:tc>
      </w:tr>
      <w:tr>
        <w:tc>
          <w:tcPr>
            <w:tcW w:type="dxa" w:w="5040"/>
          </w:tcPr>
          <w:p>
            <w:r>
              <w:t>Supplier</w:t>
            </w:r>
          </w:p>
        </w:tc>
        <w:tc>
          <w:tcPr>
            <w:tcW w:type="dxa" w:w="5040"/>
          </w:tcPr>
          <w:p>
            <w:r>
              <w:t>Primary Supplier</w:t>
            </w:r>
          </w:p>
        </w:tc>
      </w:tr>
      <w:tr>
        <w:tc>
          <w:tcPr>
            <w:tcW w:type="dxa" w:w="5040"/>
          </w:tcPr>
          <w:p>
            <w:r>
              <w:t>Supplier Location</w:t>
            </w:r>
          </w:p>
        </w:tc>
        <w:tc>
          <w:tcPr>
            <w:tcW w:type="dxa" w:w="5040"/>
          </w:tcPr>
          <w:p>
            <w:r>
              <w:t>Multiple Regions</w:t>
            </w:r>
          </w:p>
        </w:tc>
      </w:tr>
      <w:tr>
        <w:tc>
          <w:tcPr>
            <w:tcW w:type="dxa" w:w="5040"/>
          </w:tcPr>
          <w:p>
            <w:r>
              <w:t>Spend Share</w:t>
            </w:r>
          </w:p>
        </w:tc>
        <w:tc>
          <w:tcPr>
            <w:tcW w:type="dxa" w:w="5040"/>
          </w:tcPr>
          <w:p>
            <w:r>
              <w:t>90% = USD 0</w:t>
            </w:r>
          </w:p>
        </w:tc>
      </w:tr>
      <w:tr>
        <w:tc>
          <w:tcPr>
            <w:tcW w:type="dxa" w:w="5040"/>
          </w:tcPr>
          <w:p>
            <w:r>
              <w:t>Current Procurement Buying from Supplier</w:t>
            </w:r>
          </w:p>
        </w:tc>
        <w:tc>
          <w:tcPr>
            <w:tcW w:type="dxa" w:w="5040"/>
          </w:tcPr>
          <w:p>
            <w:r>
              <w:t>Yes</w:t>
            </w:r>
          </w:p>
        </w:tc>
      </w:tr>
      <w:tr>
        <w:tc>
          <w:tcPr>
            <w:tcW w:type="dxa" w:w="5040"/>
          </w:tcPr>
          <w:p>
            <w:r>
              <w:t>Alternate Supplier for Procurement</w:t>
            </w:r>
          </w:p>
        </w:tc>
        <w:tc>
          <w:tcPr>
            <w:tcW w:type="dxa" w:w="5040"/>
          </w:tcPr>
          <w:p>
            <w:r>
              <w:t>Alternate Supplier</w:t>
            </w:r>
          </w:p>
        </w:tc>
      </w:tr>
      <w:tr>
        <w:tc>
          <w:tcPr>
            <w:tcW w:type="dxa" w:w="5040"/>
          </w:tcPr>
          <w:p>
            <w:r>
              <w:t>Key Risk</w:t>
            </w:r>
          </w:p>
        </w:tc>
        <w:tc>
          <w:tcPr>
            <w:tcW w:type="dxa" w:w="5040"/>
          </w:tcPr>
          <w:p>
            <w:r>
              <w:t>Supply chain risk</w:t>
            </w:r>
          </w:p>
        </w:tc>
      </w:tr>
    </w:tbl>
    <w:p/>
    <w:p>
      <w:pPr>
        <w:pStyle w:val="Heading3"/>
      </w:pPr>
      <w:r>
        <w:t>OVERALL RISK STATEMENT</w:t>
      </w:r>
    </w:p>
    <w:p>
      <w:r>
        <w:t>Our current procurement procurement is sourced entirely from Primary Supplier, representing 90% of the total category spend (USD 0 of USD 0 assumed annual spend in 2024). While Primary Supplier supplies from multiple countries within Multiple Regions, we currently do not buy procurement at all from Alternate Supplier, an already approved incumbent supplier in our system with operational presence across multiple regions for other categories. This creates both a high supplier commercial lock-in risk and a correlated regional logistics corridor risk. It is recommended to activate procurement procurement with Alternate Supplier to offset this dependency, introduce price competition, and enable alternate logistics routing, while continuing optimization and quarterly rebalancing.</w:t>
      </w:r>
    </w:p>
    <w:p/>
    <w:p>
      <w:pPr>
        <w:pStyle w:val="Heading2"/>
      </w:pPr>
      <w:r>
        <w:t>SUPPLIER SHARE REDUCTION IMPACT (TARGET STATE)</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Supplier</w:t>
            </w:r>
          </w:p>
        </w:tc>
        <w:tc>
          <w:tcPr>
            <w:tcW w:type="dxa" w:w="3360"/>
          </w:tcPr>
          <w:p>
            <w:r>
              <w:rPr>
                <w:b/>
              </w:rPr>
              <w:t>Original Share</w:t>
            </w:r>
          </w:p>
        </w:tc>
        <w:tc>
          <w:tcPr>
            <w:tcW w:type="dxa" w:w="3360"/>
          </w:tcPr>
          <w:p>
            <w:r>
              <w:rPr>
                <w:b/>
              </w:rPr>
              <w:t>New Target Cap</w:t>
            </w:r>
          </w:p>
        </w:tc>
      </w:tr>
      <w:tr>
        <w:tc>
          <w:tcPr>
            <w:tcW w:type="dxa" w:w="3360"/>
          </w:tcPr>
          <w:p>
            <w:r>
              <w:t>Primary Supplier</w:t>
            </w:r>
          </w:p>
        </w:tc>
        <w:tc>
          <w:tcPr>
            <w:tcW w:type="dxa" w:w="3360"/>
          </w:tcPr>
          <w:p>
            <w:r>
              <w:t>90%</w:t>
            </w:r>
          </w:p>
        </w:tc>
        <w:tc>
          <w:tcPr>
            <w:tcW w:type="dxa" w:w="3360"/>
          </w:tcPr>
          <w:p>
            <w:r>
              <w:t>62%</w:t>
            </w:r>
          </w:p>
        </w:tc>
      </w:tr>
      <w:tr>
        <w:tc>
          <w:tcPr>
            <w:tcW w:type="dxa" w:w="3360"/>
          </w:tcPr>
          <w:p>
            <w:r>
              <w:t>Alternate Supplier</w:t>
            </w:r>
          </w:p>
        </w:tc>
        <w:tc>
          <w:tcPr>
            <w:tcW w:type="dxa" w:w="3360"/>
          </w:tcPr>
          <w:p>
            <w:r>
              <w:t>0%</w:t>
            </w:r>
          </w:p>
        </w:tc>
        <w:tc>
          <w:tcPr>
            <w:tcW w:type="dxa" w:w="3360"/>
          </w:tcPr>
          <w:p>
            <w:r>
              <w:t>38%</w:t>
            </w:r>
          </w:p>
        </w:tc>
      </w:tr>
    </w:tbl>
    <w:p/>
    <w:p>
      <w:pPr>
        <w:pStyle w:val="Heading2"/>
      </w:pPr>
      <w:r>
        <w:t>REGIONAL DEPENDENCY IMPROVEMENT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Original 2024</w:t>
            </w:r>
          </w:p>
        </w:tc>
        <w:tc>
          <w:tcPr>
            <w:tcW w:type="dxa" w:w="3360"/>
          </w:tcPr>
          <w:p>
            <w:r>
              <w:rPr>
                <w:b/>
              </w:rPr>
              <w:t>New Target</w:t>
            </w:r>
          </w:p>
        </w:tc>
      </w:tr>
      <w:tr>
        <w:tc>
          <w:tcPr>
            <w:tcW w:type="dxa" w:w="3360"/>
          </w:tcPr>
          <w:p>
            <w:r>
              <w:t>Southeast Asia Supply Corridor</w:t>
            </w:r>
          </w:p>
        </w:tc>
        <w:tc>
          <w:tcPr>
            <w:tcW w:type="dxa" w:w="3360"/>
          </w:tcPr>
          <w:p>
            <w:r>
              <w:t>90%</w:t>
            </w:r>
          </w:p>
        </w:tc>
        <w:tc>
          <w:tcPr>
            <w:tcW w:type="dxa" w:w="3360"/>
          </w:tcPr>
          <w:p>
            <w:r>
              <w:t>58–63%</w:t>
            </w:r>
          </w:p>
        </w:tc>
      </w:tr>
    </w:tbl>
    <w:p/>
    <w:p>
      <w:pPr>
        <w:pStyle w:val="Heading2"/>
      </w:pPr>
      <w:r>
        <w:t>COST ADVANTAGE PROJECTION FROM ADDING ALTERNATE SUPPLIER INTO PROCUREMENT PROCUREMENT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Region of Alternate Supplier Presence</w:t>
            </w:r>
          </w:p>
        </w:tc>
        <w:tc>
          <w:tcPr>
            <w:tcW w:type="dxa" w:w="3360"/>
          </w:tcPr>
          <w:p>
            <w:r>
              <w:rPr>
                <w:b/>
              </w:rPr>
              <w:t>Advantage Driver</w:t>
            </w:r>
          </w:p>
        </w:tc>
        <w:tc>
          <w:tcPr>
            <w:tcW w:type="dxa" w:w="3360"/>
          </w:tcPr>
          <w:p>
            <w:r>
              <w:rPr>
                <w:b/>
              </w:rPr>
              <w:t>Estimated Annual Cost Benefit (USD)</w:t>
            </w:r>
          </w:p>
        </w:tc>
      </w:tr>
    </w:tbl>
    <w:p/>
    <w:p>
      <w:pPr>
        <w:pStyle w:val="Heading2"/>
      </w:pPr>
      <w:r>
        <w:t>STRATEGIC OUTCOME</w:t>
      </w:r>
    </w:p>
    <w:p/>
    <w:p>
      <w:pPr>
        <w:pStyle w:val="Heading2"/>
      </w:pPr>
      <w:r>
        <w:t>NEXT STEPS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