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RAW MATERIALS - STEEL DIVERSIFICATION</w:t>
      </w:r>
    </w:p>
    <w:p>
      <w:pPr>
        <w:jc w:val="center"/>
      </w:pPr>
      <w:r>
        <w:rPr>
          <w:i/>
          <w:sz w:val="22"/>
        </w:rPr>
        <w:t>Supplier Concentration Analysis &amp; Diversification Strategy</w:t>
      </w:r>
    </w:p>
    <w:p>
      <w:pPr>
        <w:jc w:val="center"/>
      </w:pPr>
      <w:r>
        <w:rPr>
          <w:b/>
          <w:sz w:val="24"/>
        </w:rPr>
        <w:t>Total Category Spend 2025: USD 13,068,000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2025 Original</w:t>
            </w:r>
          </w:p>
        </w:tc>
      </w:tr>
      <w:tr>
        <w:tc>
          <w:tcPr>
            <w:tcW w:type="dxa" w:w="5040"/>
          </w:tcPr>
          <w:p>
            <w:r>
              <w:rPr>
                <w:sz w:val="20"/>
              </w:rPr>
              <w:t>Supplier</w:t>
            </w:r>
          </w:p>
        </w:tc>
        <w:tc>
          <w:tcPr>
            <w:tcW w:type="dxa" w:w="5040"/>
          </w:tcPr>
          <w:p>
            <w:r>
              <w:rPr>
                <w:sz w:val="20"/>
              </w:rPr>
              <w:t>ArcelorMittal</w:t>
            </w:r>
          </w:p>
        </w:tc>
      </w:tr>
      <w:tr>
        <w:tc>
          <w:tcPr>
            <w:tcW w:type="dxa" w:w="5040"/>
          </w:tcPr>
          <w:p>
            <w:r>
              <w:rPr>
                <w:sz w:val="20"/>
              </w:rPr>
              <w:t>Supplier Location</w:t>
            </w:r>
          </w:p>
        </w:tc>
        <w:tc>
          <w:tcPr>
            <w:tcW w:type="dxa" w:w="5040"/>
          </w:tcPr>
          <w:p>
            <w:r>
              <w:rPr>
                <w:sz w:val="20"/>
              </w:rPr>
              <w:t>Luxembourg</w:t>
            </w:r>
          </w:p>
        </w:tc>
      </w:tr>
      <w:tr>
        <w:tc>
          <w:tcPr>
            <w:tcW w:type="dxa" w:w="5040"/>
          </w:tcPr>
          <w:p>
            <w:r>
              <w:rPr>
                <w:sz w:val="20"/>
              </w:rPr>
              <w:t>Spend Share</w:t>
            </w:r>
          </w:p>
        </w:tc>
        <w:tc>
          <w:tcPr>
            <w:tcW w:type="dxa" w:w="5040"/>
          </w:tcPr>
          <w:p>
            <w:r>
              <w:rPr>
                <w:sz w:val="20"/>
              </w:rPr>
              <w:t>45% = USD 5,907,600</w:t>
            </w:r>
          </w:p>
        </w:tc>
      </w:tr>
      <w:tr>
        <w:tc>
          <w:tcPr>
            <w:tcW w:type="dxa" w:w="5040"/>
          </w:tcPr>
          <w:p>
            <w:r>
              <w:rPr>
                <w:sz w:val="20"/>
              </w:rPr>
              <w:t>Current Raw Materials - Steel Buying from Supplier</w:t>
            </w:r>
          </w:p>
        </w:tc>
        <w:tc>
          <w:tcPr>
            <w:tcW w:type="dxa" w:w="5040"/>
          </w:tcPr>
          <w:p>
            <w:r>
              <w:rPr>
                <w:sz w:val="20"/>
              </w:rPr>
              <w:t>Yes</w:t>
            </w:r>
          </w:p>
        </w:tc>
      </w:tr>
      <w:tr>
        <w:tc>
          <w:tcPr>
            <w:tcW w:type="dxa" w:w="5040"/>
          </w:tcPr>
          <w:p>
            <w:r>
              <w:rPr>
                <w:sz w:val="20"/>
              </w:rPr>
              <w:t>Alternate Supplier for Raw Materials - Steel</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Europe with 3 suppliers</w:t>
            </w:r>
          </w:p>
        </w:tc>
      </w:tr>
    </w:tbl>
    <w:p/>
    <w:p>
      <w:pPr>
        <w:pStyle w:val="Heading3"/>
      </w:pPr>
      <w:r>
        <w:rPr>
          <w:color w:val="003366"/>
        </w:rPr>
        <w:t>OVERALL RISK STATEMENT</w:t>
      </w:r>
    </w:p>
    <w:p>
      <w:pPr>
        <w:spacing w:after="240"/>
      </w:pPr>
      <w:r>
        <w:t xml:space="preserve">Our current raw materials - steel procurement involves 3 suppliers, with ArcelorMittal as the dominant supplier at 45% of total category spend (USD 5,907,600 of USD 13,068,000 in 2025). Other suppliers include: Tata Steel (28%), Baosteel (26%). All suppliers operate from Luxembourg. We do not have alternate Steel suppliers activated for this category.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ArcelorMittal</w:t>
            </w:r>
          </w:p>
        </w:tc>
        <w:tc>
          <w:tcPr>
            <w:tcW w:type="dxa" w:w="2520"/>
          </w:tcPr>
          <w:p>
            <w:r>
              <w:rPr>
                <w:sz w:val="20"/>
              </w:rPr>
              <w:t>45%</w:t>
            </w:r>
          </w:p>
        </w:tc>
        <w:tc>
          <w:tcPr>
            <w:tcW w:type="dxa" w:w="2520"/>
          </w:tcPr>
          <w:p>
            <w:r>
              <w:rPr>
                <w:sz w:val="20"/>
              </w:rPr>
              <w:t>40%</w:t>
            </w:r>
          </w:p>
        </w:tc>
        <w:tc>
          <w:tcPr>
            <w:tcW w:type="dxa" w:w="2520"/>
          </w:tcPr>
          <w:p>
            <w:r>
              <w:rPr>
                <w:sz w:val="20"/>
              </w:rPr>
              <w:t>45% → 40% = 11.5%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2025</w:t>
            </w:r>
          </w:p>
        </w:tc>
        <w:tc>
          <w:tcPr>
            <w:tcW w:type="dxa" w:w="2520"/>
          </w:tcPr>
          <w:p>
            <w:r>
              <w:rPr>
                <w:b/>
                <w:sz w:val="20"/>
              </w:rPr>
              <w:t>New Target</w:t>
            </w:r>
          </w:p>
        </w:tc>
        <w:tc>
          <w:tcPr>
            <w:tcW w:type="dxa" w:w="2520"/>
          </w:tcPr>
          <w:p>
            <w:r>
              <w:rPr>
                <w:b/>
                <w:sz w:val="20"/>
              </w:rPr>
              <w:t>Net Reduction</w:t>
            </w:r>
          </w:p>
        </w:tc>
      </w:tr>
      <w:tr>
        <w:tc>
          <w:tcPr>
            <w:tcW w:type="dxa" w:w="2520"/>
          </w:tcPr>
          <w:p>
            <w:r>
              <w:rPr>
                <w:sz w:val="20"/>
              </w:rPr>
              <w:t>European Supply Corridor</w:t>
            </w:r>
          </w:p>
        </w:tc>
        <w:tc>
          <w:tcPr>
            <w:tcW w:type="dxa" w:w="2520"/>
          </w:tcPr>
          <w:p>
            <w:r>
              <w:rPr>
                <w:sz w:val="20"/>
              </w:rPr>
              <w:t>45%</w:t>
            </w:r>
          </w:p>
        </w:tc>
        <w:tc>
          <w:tcPr>
            <w:tcW w:type="dxa" w:w="2520"/>
          </w:tcPr>
          <w:p>
            <w:r>
              <w:rPr>
                <w:sz w:val="20"/>
              </w:rPr>
              <w:t>40–50%</w:t>
            </w:r>
          </w:p>
        </w:tc>
        <w:tc>
          <w:tcPr>
            <w:tcW w:type="dxa" w:w="2520"/>
          </w:tcPr>
          <w:p>
            <w:r>
              <w:rPr>
                <w:sz w:val="20"/>
              </w:rPr>
              <w:t>-5–5%</w:t>
            </w:r>
          </w:p>
        </w:tc>
      </w:tr>
    </w:tbl>
    <w:p/>
    <w:p>
      <w:pPr>
        <w:pStyle w:val="Heading2"/>
      </w:pPr>
      <w:r>
        <w:rPr>
          <w:color w:val="003366"/>
        </w:rPr>
        <w:t>COST ADVANTAGE PROJECTION FROM ADDING NEW ALTERNATE SUPPLIER INTO RAW MATERIALS - STEEL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China</w:t>
            </w:r>
          </w:p>
        </w:tc>
        <w:tc>
          <w:tcPr>
            <w:tcW w:type="dxa" w:w="3360"/>
          </w:tcPr>
          <w:p>
            <w:r>
              <w:rPr>
                <w:sz w:val="20"/>
              </w:rPr>
              <w:t>Massive production capacity + competitive pricing</w:t>
            </w:r>
          </w:p>
        </w:tc>
        <w:tc>
          <w:tcPr>
            <w:tcW w:type="dxa" w:w="3360"/>
          </w:tcPr>
          <w:p>
            <w:r>
              <w:rPr>
                <w:sz w:val="20"/>
              </w:rPr>
              <w:t>$156,816 – $352,836</w:t>
            </w:r>
          </w:p>
        </w:tc>
      </w:tr>
      <w:tr>
        <w:tc>
          <w:tcPr>
            <w:tcW w:type="dxa" w:w="3360"/>
          </w:tcPr>
          <w:p>
            <w:r>
              <w:rPr>
                <w:sz w:val="20"/>
              </w:rPr>
              <w:t>India</w:t>
            </w:r>
          </w:p>
        </w:tc>
        <w:tc>
          <w:tcPr>
            <w:tcW w:type="dxa" w:w="3360"/>
          </w:tcPr>
          <w:p>
            <w:r>
              <w:rPr>
                <w:sz w:val="20"/>
              </w:rPr>
              <w:t>Growing capacity + lower labor costs</w:t>
            </w:r>
          </w:p>
        </w:tc>
        <w:tc>
          <w:tcPr>
            <w:tcW w:type="dxa" w:w="3360"/>
          </w:tcPr>
          <w:p>
            <w:r>
              <w:rPr>
                <w:sz w:val="20"/>
              </w:rPr>
              <w:t>$156,816 – $352,836</w:t>
            </w:r>
          </w:p>
        </w:tc>
      </w:tr>
      <w:tr>
        <w:tc>
          <w:tcPr>
            <w:tcW w:type="dxa" w:w="3360"/>
          </w:tcPr>
          <w:p>
            <w:r>
              <w:rPr>
                <w:sz w:val="20"/>
              </w:rPr>
              <w:t>Russia</w:t>
            </w:r>
          </w:p>
        </w:tc>
        <w:tc>
          <w:tcPr>
            <w:tcW w:type="dxa" w:w="3360"/>
          </w:tcPr>
          <w:p>
            <w:r>
              <w:rPr>
                <w:sz w:val="20"/>
              </w:rPr>
              <w:t>Diversification benefits + competitive pricing in Russia</w:t>
            </w:r>
          </w:p>
        </w:tc>
        <w:tc>
          <w:tcPr>
            <w:tcW w:type="dxa" w:w="3360"/>
          </w:tcPr>
          <w:p>
            <w:r>
              <w:rPr>
                <w:sz w:val="20"/>
              </w:rPr>
              <w:t>$156,816 – $352,836</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$470,448 – $1,058,508</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HIGH</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HIGH</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2.7/4.0</w:t>
            </w:r>
          </w:p>
        </w:tc>
        <w:tc>
          <w:tcPr>
            <w:tcW w:type="dxa" w:w="3360"/>
          </w:tcPr>
          <w:p>
            <w:r>
              <w:rPr>
                <w:sz w:val="20"/>
              </w:rPr>
              <w:t>HIGH</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$470,448 – $1,058,508</w:t>
            </w:r>
          </w:p>
        </w:tc>
      </w:tr>
      <w:tr>
        <w:tc>
          <w:tcPr>
            <w:tcW w:type="dxa" w:w="5040"/>
          </w:tcPr>
          <w:p>
            <w:r>
              <w:rPr>
                <w:sz w:val="20"/>
              </w:rPr>
              <w:t>Risk Reduction Value</w:t>
            </w:r>
          </w:p>
        </w:tc>
        <w:tc>
          <w:tcPr>
            <w:tcW w:type="dxa" w:w="5040"/>
          </w:tcPr>
          <w:p>
            <w:r>
              <w:rPr>
                <w:sz w:val="20"/>
              </w:rPr>
              <w:t>$1,307</w:t>
            </w:r>
          </w:p>
        </w:tc>
      </w:tr>
      <w:tr>
        <w:tc>
          <w:tcPr>
            <w:tcW w:type="dxa" w:w="5040"/>
          </w:tcPr>
          <w:p>
            <w:r>
              <w:rPr>
                <w:sz w:val="20"/>
              </w:rPr>
              <w:t>Implementation Cost</w:t>
            </w:r>
          </w:p>
        </w:tc>
        <w:tc>
          <w:tcPr>
            <w:tcW w:type="dxa" w:w="5040"/>
          </w:tcPr>
          <w:p>
            <w:r>
              <w:rPr>
                <w:sz w:val="20"/>
              </w:rPr>
              <w:t>$261,360</w:t>
            </w:r>
          </w:p>
        </w:tc>
      </w:tr>
      <w:tr>
        <w:tc>
          <w:tcPr>
            <w:tcW w:type="dxa" w:w="5040"/>
          </w:tcPr>
          <w:p>
            <w:r>
              <w:rPr>
                <w:sz w:val="20"/>
              </w:rPr>
              <w:t>ROI (First Year)</w:t>
            </w:r>
          </w:p>
        </w:tc>
        <w:tc>
          <w:tcPr>
            <w:tcW w:type="dxa" w:w="5040"/>
          </w:tcPr>
          <w:p>
            <w:r>
              <w:rPr>
                <w:sz w:val="20"/>
              </w:rPr>
              <w:t>80% – 306%</w:t>
            </w:r>
          </w:p>
        </w:tc>
      </w:tr>
      <w:tr>
        <w:tc>
          <w:tcPr>
            <w:tcW w:type="dxa" w:w="5040"/>
          </w:tcPr>
          <w:p>
            <w:r>
              <w:rPr>
                <w:sz w:val="20"/>
              </w:rPr>
              <w:t>Payback Period</w:t>
            </w:r>
          </w:p>
        </w:tc>
        <w:tc>
          <w:tcPr>
            <w:tcW w:type="dxa" w:w="5040"/>
          </w:tcPr>
          <w:p>
            <w:r>
              <w:rPr>
                <w:sz w:val="20"/>
              </w:rPr>
              <w:t>3.0 – 6.6 months</w:t>
            </w:r>
          </w:p>
        </w:tc>
      </w:tr>
      <w:tr>
        <w:tc>
          <w:tcPr>
            <w:tcW w:type="dxa" w:w="5040"/>
          </w:tcPr>
          <w:p>
            <w:r>
              <w:rPr>
                <w:sz w:val="20"/>
              </w:rPr>
              <w:t>3-Year Net Benefit</w:t>
            </w:r>
          </w:p>
        </w:tc>
        <w:tc>
          <w:tcPr>
            <w:tcW w:type="dxa" w:w="5040"/>
          </w:tcPr>
          <w:p>
            <w:r>
              <w:rPr>
                <w:sz w:val="20"/>
              </w:rPr>
              <w:t>$1,153,904 – $2,918,084</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ArcelorMittal</w:t>
            </w:r>
          </w:p>
        </w:tc>
        <w:tc>
          <w:tcPr>
            <w:tcW w:type="dxa" w:w="2016"/>
          </w:tcPr>
          <w:p>
            <w:r>
              <w:rPr>
                <w:sz w:val="20"/>
              </w:rPr>
              <w:t>$5,907,600</w:t>
            </w:r>
          </w:p>
        </w:tc>
        <w:tc>
          <w:tcPr>
            <w:tcW w:type="dxa" w:w="2016"/>
          </w:tcPr>
          <w:p>
            <w:r>
              <w:rPr>
                <w:sz w:val="20"/>
              </w:rPr>
              <w:t>4.7/5.0</w:t>
            </w:r>
          </w:p>
        </w:tc>
        <w:tc>
          <w:tcPr>
            <w:tcW w:type="dxa" w:w="2016"/>
          </w:tcPr>
          <w:p>
            <w:r>
              <w:rPr>
                <w:sz w:val="20"/>
              </w:rPr>
              <w:t>94%</w:t>
            </w:r>
          </w:p>
        </w:tc>
        <w:tc>
          <w:tcPr>
            <w:tcW w:type="dxa" w:w="2016"/>
          </w:tcPr>
          <w:p>
            <w:r>
              <w:rPr>
                <w:sz w:val="20"/>
              </w:rPr>
              <w:t>8.5/10</w:t>
            </w:r>
          </w:p>
        </w:tc>
      </w:tr>
      <w:tr>
        <w:tc>
          <w:tcPr>
            <w:tcW w:type="dxa" w:w="2016"/>
          </w:tcPr>
          <w:p>
            <w:r>
              <w:rPr>
                <w:sz w:val="20"/>
              </w:rPr>
              <w:t>Tata Steel</w:t>
            </w:r>
          </w:p>
        </w:tc>
        <w:tc>
          <w:tcPr>
            <w:tcW w:type="dxa" w:w="2016"/>
          </w:tcPr>
          <w:p>
            <w:r>
              <w:rPr>
                <w:sz w:val="20"/>
              </w:rPr>
              <w:t>$3,704,400</w:t>
            </w:r>
          </w:p>
        </w:tc>
        <w:tc>
          <w:tcPr>
            <w:tcW w:type="dxa" w:w="2016"/>
          </w:tcPr>
          <w:p>
            <w:r>
              <w:rPr>
                <w:sz w:val="20"/>
              </w:rPr>
              <w:t>4.6/5.0</w:t>
            </w:r>
          </w:p>
        </w:tc>
        <w:tc>
          <w:tcPr>
            <w:tcW w:type="dxa" w:w="2016"/>
          </w:tcPr>
          <w:p>
            <w:r>
              <w:rPr>
                <w:sz w:val="20"/>
              </w:rPr>
              <w:t>92%</w:t>
            </w:r>
          </w:p>
        </w:tc>
        <w:tc>
          <w:tcPr>
            <w:tcW w:type="dxa" w:w="2016"/>
          </w:tcPr>
          <w:p>
            <w:r>
              <w:rPr>
                <w:sz w:val="20"/>
              </w:rPr>
              <w:t>8.3/10</w:t>
            </w:r>
          </w:p>
        </w:tc>
      </w:tr>
      <w:tr>
        <w:tc>
          <w:tcPr>
            <w:tcW w:type="dxa" w:w="2016"/>
          </w:tcPr>
          <w:p>
            <w:r>
              <w:rPr>
                <w:sz w:val="20"/>
              </w:rPr>
              <w:t>Baosteel</w:t>
            </w:r>
          </w:p>
        </w:tc>
        <w:tc>
          <w:tcPr>
            <w:tcW w:type="dxa" w:w="2016"/>
          </w:tcPr>
          <w:p>
            <w:r>
              <w:rPr>
                <w:sz w:val="20"/>
              </w:rPr>
              <w:t>$3,456,000</w:t>
            </w:r>
          </w:p>
        </w:tc>
        <w:tc>
          <w:tcPr>
            <w:tcW w:type="dxa" w:w="2016"/>
          </w:tcPr>
          <w:p>
            <w:r>
              <w:rPr>
                <w:sz w:val="20"/>
              </w:rPr>
              <w:t>4.5/5.0</w:t>
            </w:r>
          </w:p>
        </w:tc>
        <w:tc>
          <w:tcPr>
            <w:tcW w:type="dxa" w:w="2016"/>
          </w:tcPr>
          <w:p>
            <w:r>
              <w:rPr>
                <w:sz w:val="20"/>
              </w:rPr>
              <w:t>90%</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50%</w:t>
            </w:r>
          </w:p>
        </w:tc>
      </w:tr>
    </w:tbl>
    <w:p/>
    <w:p>
      <w:r>
        <w:rPr>
          <w:b/>
        </w:rPr>
        <w:t>Violations Detected:</w:t>
      </w:r>
    </w:p>
    <w:p>
      <w:pPr>
        <w:pStyle w:val="ListBullet"/>
      </w:pPr>
      <w:r>
        <w:t>R001: Regional Concentration</w:t>
      </w:r>
    </w:p>
    <w:p>
      <w:pPr>
        <w:pStyle w:val="ListBullet"/>
      </w:pPr>
      <w:r>
        <w:t>R023: Supplier Concentration Index</w:t>
      </w:r>
    </w:p>
    <w:p/>
    <w:p>
      <w:pPr>
        <w:pStyle w:val="Heading2"/>
      </w:pPr>
      <w:r>
        <w:rPr>
          <w:color w:val="003366"/>
        </w:rPr>
        <w:t>STRATEGIC OUTCOME</w:t>
      </w:r>
    </w:p>
    <w:p>
      <w:pPr>
        <w:pStyle w:val="ListBullet"/>
      </w:pPr>
      <w:r>
        <w:t>Reduce single-supplier concentration from 45% to 40% in Phase 1</w:t>
      </w:r>
    </w:p>
    <w:p>
      <w:pPr>
        <w:pStyle w:val="ListBullet"/>
      </w:pPr>
      <w:r>
        <w:t>Activate 10% of spend via new qualified suppliers with multi-region presence</w:t>
      </w:r>
    </w:p>
    <w:p>
      <w:pPr>
        <w:pStyle w:val="ListBullet"/>
      </w:pPr>
      <w:r>
        <w:t>Improve pricing leverage through supplier competition</w:t>
      </w:r>
    </w:p>
    <w:p>
      <w:pPr>
        <w:pStyle w:val="ListBullet"/>
      </w:pPr>
      <w:r>
        <w:t>Reduce european supply corridor risk by ~-5%</w:t>
      </w:r>
    </w:p>
    <w:p>
      <w:pPr>
        <w:pStyle w:val="ListBullet"/>
      </w:pPr>
      <w:r>
        <w:t>Achieve estimated annual cost advantage of USD 470,448–1,058,508 while improving supply continuity</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raw materials - steel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