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8"/>
        </w:rPr>
        <w:t>LEADERSHIP BRIEF – RICE BRAN OIL DIVERSIFICATION</w:t>
      </w:r>
    </w:p>
    <w:p>
      <w:pPr>
        <w:jc w:val="center"/>
      </w:pPr>
      <w:r>
        <w:rPr>
          <w:b/>
          <w:sz w:val="22"/>
        </w:rPr>
        <w:t>Assumed Total Category Spend 2024: USD 2,208,600</w:t>
      </w:r>
    </w:p>
    <w:p/>
    <w:p>
      <w:pPr>
        <w:pStyle w:val="Heading2"/>
      </w:pPr>
      <w:r>
        <w:t>CURRENT STATE – SUPPLIER CONCENTRATION RISK</w:t>
      </w:r>
    </w:p>
    <w:p>
      <w:pPr>
        <w:pStyle w:val="Heading3"/>
      </w:pPr>
      <w:r>
        <w:t>OVERALL RISK STATEMENT</w:t>
      </w:r>
    </w:p>
    <w:p>
      <w:r>
        <w:t xml:space="preserve">Our current rice bran oil procurement involves 2 suppliers, with Malaya Agri Oils as the dominant supplier at 65% of total category spend (USD 1,441,800 of USD 2,208,600 in January 2026). Other suppliers include: Borneo Nutrients (35%). All suppliers operate from APAC. We currently do not source rice bran oil from Mediterranean Oils, an already approved Edible Oils supplier in our system with operational presence across Spain, Ukraine, USA, Indonesia. </w:t>
        <w:br/>
        <w:br/>
        <w:t>This creates both a high supplier concentration risk and a correlated geographic concentration risk. It is recommended to activate rice bran oil with Mediterranean Oils to offset this dependency, introduce price competition, diversify geographic exposure, and enable alternate logistics routing, while continuing optimization and quarterly rebalancing.</w:t>
      </w:r>
    </w:p>
    <w:p/>
    <w:p>
      <w:pPr>
        <w:pStyle w:val="Heading3"/>
      </w:pPr>
      <w:r>
        <w:t>SUPPLIER SHARE REDUCTION IMPACT (TARGET STATE)</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rPr>
              <w:t>Supplier</w:t>
            </w:r>
          </w:p>
        </w:tc>
        <w:tc>
          <w:tcPr>
            <w:tcW w:type="dxa" w:w="3360"/>
          </w:tcPr>
          <w:p>
            <w:r>
              <w:rPr>
                <w:b/>
              </w:rPr>
              <w:t>Current State</w:t>
            </w:r>
          </w:p>
        </w:tc>
        <w:tc>
          <w:tcPr>
            <w:tcW w:type="dxa" w:w="3360"/>
          </w:tcPr>
          <w:p>
            <w:r>
              <w:rPr>
                <w:b/>
              </w:rPr>
              <w:t>Target State</w:t>
            </w:r>
          </w:p>
        </w:tc>
      </w:tr>
      <w:tr>
        <w:tc>
          <w:tcPr>
            <w:tcW w:type="dxa" w:w="3360"/>
          </w:tcPr>
          <w:p>
            <w:r>
              <w:t>Primary Supplier</w:t>
            </w:r>
          </w:p>
        </w:tc>
        <w:tc>
          <w:tcPr>
            <w:tcW w:type="dxa" w:w="3360"/>
          </w:tcPr>
          <w:p>
            <w:r>
              <w:t>90%</w:t>
            </w:r>
          </w:p>
        </w:tc>
        <w:tc>
          <w:tcPr>
            <w:tcW w:type="dxa" w:w="3360"/>
          </w:tcPr>
          <w:p>
            <w:r>
              <w:t>62%</w:t>
            </w:r>
          </w:p>
        </w:tc>
      </w:tr>
      <w:tr>
        <w:tc>
          <w:tcPr>
            <w:tcW w:type="dxa" w:w="3360"/>
          </w:tcPr>
          <w:p>
            <w:r>
              <w:t>Alternate Supplier</w:t>
            </w:r>
          </w:p>
        </w:tc>
        <w:tc>
          <w:tcPr>
            <w:tcW w:type="dxa" w:w="3360"/>
          </w:tcPr>
          <w:p>
            <w:r>
              <w:t>0%</w:t>
            </w:r>
          </w:p>
        </w:tc>
        <w:tc>
          <w:tcPr>
            <w:tcW w:type="dxa" w:w="3360"/>
          </w:tcPr>
          <w:p>
            <w:r>
              <w:t>38%</w:t>
            </w:r>
          </w:p>
        </w:tc>
      </w:tr>
    </w:tbl>
    <w:p/>
    <w:p>
      <w:pPr>
        <w:pStyle w:val="Heading3"/>
      </w:pPr>
      <w:r>
        <w:t>REGIONAL DEPENDENCY IMPROVEMENT</w:t>
      </w:r>
    </w:p>
    <w:tbl>
      <w:tblPr>
        <w:tblStyle w:val="LightGrid-Accent1"/>
        <w:tblW w:type="auto" w:w="0"/>
        <w:tblLook w:firstColumn="1" w:firstRow="1" w:lastColumn="0" w:lastRow="0" w:noHBand="0" w:noVBand="1" w:val="04A0"/>
      </w:tblPr>
      <w:tblGrid>
        <w:gridCol w:w="5040"/>
        <w:gridCol w:w="5040"/>
      </w:tblGrid>
      <w:tr>
        <w:tc>
          <w:tcPr>
            <w:tcW w:type="dxa" w:w="5040"/>
          </w:tcPr>
          <w:p>
            <w:r>
              <w:rPr>
                <w:b/>
              </w:rPr>
              <w:t>Metric</w:t>
            </w:r>
          </w:p>
        </w:tc>
        <w:tc>
          <w:tcPr>
            <w:tcW w:type="dxa" w:w="5040"/>
          </w:tcPr>
          <w:p>
            <w:r>
              <w:rPr>
                <w:b/>
              </w:rPr>
              <w:t>Value</w:t>
            </w:r>
          </w:p>
        </w:tc>
      </w:tr>
      <w:tr>
        <w:tc>
          <w:tcPr>
            <w:tcW w:type="dxa" w:w="5040"/>
          </w:tcPr>
          <w:p>
            <w:r>
              <w:t>Original SEA Concentration</w:t>
            </w:r>
          </w:p>
        </w:tc>
        <w:tc>
          <w:tcPr>
            <w:tcW w:type="dxa" w:w="5040"/>
          </w:tcPr>
          <w:p>
            <w:r>
              <w:t>100%</w:t>
            </w:r>
          </w:p>
        </w:tc>
      </w:tr>
      <w:tr>
        <w:tc>
          <w:tcPr>
            <w:tcW w:type="dxa" w:w="5040"/>
          </w:tcPr>
          <w:p>
            <w:r>
              <w:t>New Target</w:t>
            </w:r>
          </w:p>
        </w:tc>
        <w:tc>
          <w:tcPr>
            <w:tcW w:type="dxa" w:w="5040"/>
          </w:tcPr>
          <w:p>
            <w:r>
              <w:t>58–63%</w:t>
            </w:r>
          </w:p>
        </w:tc>
      </w:tr>
      <w:tr>
        <w:tc>
          <w:tcPr>
            <w:tcW w:type="dxa" w:w="5040"/>
          </w:tcPr>
          <w:p>
            <w:r>
              <w:t>Reduction</w:t>
            </w:r>
          </w:p>
        </w:tc>
        <w:tc>
          <w:tcPr>
            <w:tcW w:type="dxa" w:w="5040"/>
          </w:tcPr>
          <w:p>
            <w:r>
              <w:t>27–32%</w:t>
            </w:r>
          </w:p>
        </w:tc>
      </w:tr>
    </w:tbl>
    <w:p/>
    <w:p>
      <w:pPr>
        <w:pStyle w:val="Heading3"/>
      </w:pPr>
      <w:r>
        <w:t>COST ADVANTAGE PROJECTION FROM ADDING ALTERNATE INTO PROCUREMENT</w:t>
      </w:r>
    </w:p>
    <w:tbl>
      <w:tblPr>
        <w:tblStyle w:val="LightGrid-Accent1"/>
        <w:tblW w:type="auto" w:w="0"/>
        <w:tblLook w:firstColumn="1" w:firstRow="1" w:lastColumn="0" w:lastRow="0" w:noHBand="0" w:noVBand="1" w:val="04A0"/>
      </w:tblPr>
      <w:tblGrid>
        <w:gridCol w:w="3360"/>
        <w:gridCol w:w="3360"/>
        <w:gridCol w:w="3360"/>
      </w:tblGrid>
      <w:tr>
        <w:tc>
          <w:tcPr>
            <w:tcW w:type="dxa" w:w="3360"/>
          </w:tcPr>
          <w:p>
            <w:r>
              <w:rPr>
                <w:b/>
              </w:rPr>
              <w:t>Benefit Driver</w:t>
            </w:r>
          </w:p>
        </w:tc>
        <w:tc>
          <w:tcPr>
            <w:tcW w:type="dxa" w:w="3360"/>
          </w:tcPr>
          <w:p>
            <w:r>
              <w:rPr>
                <w:b/>
              </w:rPr>
              <w:t>Min Savings</w:t>
            </w:r>
          </w:p>
        </w:tc>
        <w:tc>
          <w:tcPr>
            <w:tcW w:type="dxa" w:w="3360"/>
          </w:tcPr>
          <w:p>
            <w:r>
              <w:rPr>
                <w:b/>
              </w:rPr>
              <w:t>Max Savings</w:t>
            </w:r>
          </w:p>
        </w:tc>
      </w:tr>
      <w:tr>
        <w:tc>
          <w:tcPr>
            <w:tcW w:type="dxa" w:w="3360"/>
          </w:tcPr>
          <w:p>
            <w:r>
              <w:t>Port efficiency + strong milling ecosystem</w:t>
            </w:r>
          </w:p>
        </w:tc>
        <w:tc>
          <w:tcPr>
            <w:tcW w:type="dxa" w:w="3360"/>
          </w:tcPr>
          <w:p>
            <w:r>
              <w:t>USD 12,000</w:t>
            </w:r>
          </w:p>
        </w:tc>
        <w:tc>
          <w:tcPr>
            <w:tcW w:type="dxa" w:w="3360"/>
          </w:tcPr>
          <w:p>
            <w:r>
              <w:t>USD 28,000</w:t>
            </w:r>
          </w:p>
        </w:tc>
      </w:tr>
      <w:tr>
        <w:tc>
          <w:tcPr>
            <w:tcW w:type="dxa" w:w="3360"/>
          </w:tcPr>
          <w:p>
            <w:r>
              <w:t>Supplier competition + input cost reduction + logistics resilience</w:t>
            </w:r>
          </w:p>
        </w:tc>
        <w:tc>
          <w:tcPr>
            <w:tcW w:type="dxa" w:w="3360"/>
          </w:tcPr>
          <w:p>
            <w:r>
              <w:t>USD 12,000</w:t>
            </w:r>
          </w:p>
        </w:tc>
        <w:tc>
          <w:tcPr>
            <w:tcW w:type="dxa" w:w="3360"/>
          </w:tcPr>
          <w:p>
            <w:r>
              <w:t>USD 28,000</w:t>
            </w:r>
          </w:p>
        </w:tc>
      </w:tr>
      <w:tr>
        <w:tc>
          <w:tcPr>
            <w:tcW w:type="dxa" w:w="3360"/>
          </w:tcPr>
          <w:p>
            <w:r>
              <w:rPr>
                <w:b/>
              </w:rPr>
              <w:t>TOTAL BLENDED ADVANTAGE</w:t>
            </w:r>
          </w:p>
        </w:tc>
        <w:tc>
          <w:tcPr>
            <w:tcW w:type="dxa" w:w="3360"/>
          </w:tcPr>
          <w:p>
            <w:r>
              <w:t>USD 24,000</w:t>
            </w:r>
          </w:p>
        </w:tc>
        <w:tc>
          <w:tcPr>
            <w:tcW w:type="dxa" w:w="3360"/>
          </w:tcPr>
          <w:p>
            <w:r>
              <w:t>USD 56,000</w:t>
            </w:r>
          </w:p>
        </w:tc>
      </w:tr>
    </w:tbl>
    <w:p/>
    <w:p>
      <w:pPr>
        <w:pStyle w:val="Heading2"/>
      </w:pPr>
      <w:r>
        <w:t>STRATEGIC OUTCOME</w:t>
      </w:r>
    </w:p>
    <w:p>
      <w:pPr>
        <w:pStyle w:val="ListBullet"/>
      </w:pPr>
      <w:r>
        <w:t>Reduce single-supplier concentration from 65% to 62% in Phase 1</w:t>
      </w:r>
    </w:p>
    <w:p>
      <w:pPr>
        <w:pStyle w:val="ListBullet"/>
      </w:pPr>
      <w:r>
        <w:t>Activate 38% of spend via an incumbent supplier with multi-region presence</w:t>
      </w:r>
    </w:p>
    <w:p>
      <w:pPr>
        <w:pStyle w:val="ListBullet"/>
      </w:pPr>
      <w:r>
        <w:t>Improve pricing leverage through supplier competition</w:t>
      </w:r>
    </w:p>
    <w:p>
      <w:pPr>
        <w:pStyle w:val="ListBullet"/>
      </w:pPr>
      <w:r>
        <w:t>Reduce regional logistics corridor risk by ~30%</w:t>
      </w:r>
    </w:p>
    <w:p>
      <w:pPr>
        <w:pStyle w:val="ListBullet"/>
      </w:pPr>
      <w:r>
        <w:t>Achieve an estimated blended annual cost advantage of USD 24,000–56,000 while improving supply continuity resilience</w:t>
      </w:r>
    </w:p>
    <w:p/>
    <w:p>
      <w:pPr>
        <w:pStyle w:val="Heading2"/>
      </w:pPr>
      <w:r>
        <w:t>NEXT STEPS</w:t>
      </w:r>
    </w:p>
    <w:p>
      <w:pPr>
        <w:pStyle w:val="ListNumber"/>
      </w:pPr>
      <w:r>
        <w:t>Activate Rice Bran Oil with Mediterranean Oils</w:t>
      </w:r>
    </w:p>
    <w:p>
      <w:pPr>
        <w:pStyle w:val="ListNumber"/>
      </w:pPr>
      <w:r>
        <w:t>Initiate 8–12 week pilot allocations</w:t>
      </w:r>
    </w:p>
    <w:p>
      <w:pPr>
        <w:pStyle w:val="ListNumber"/>
      </w:pPr>
      <w:r>
        <w:t>Benchmark pricing and delivery quarterly</w:t>
      </w:r>
    </w:p>
    <w:p>
      <w:pPr>
        <w:pStyle w:val="ListNumber"/>
      </w:pPr>
      <w:r>
        <w:t>Continue phased reduction based on pilot performance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