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Supplier Concentration Analysis &amp; Diversification Strategy</w:t>
      </w:r>
    </w:p>
    <w:p>
      <w:pPr>
        <w:jc w:val="center"/>
      </w:pPr>
      <w:r>
        <w:rPr>
          <w:b/>
          <w:sz w:val="24"/>
        </w:rPr>
        <w:t>Total Category Spend 2025: USD 2,208,600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Malaya Agri Oils</w:t>
            </w:r>
          </w:p>
        </w:tc>
      </w:tr>
      <w:tr>
        <w:tc>
          <w:tcPr>
            <w:tcW w:type="dxa" w:w="5040"/>
          </w:tcPr>
          <w:p>
            <w:r>
              <w:rPr>
                <w:sz w:val="20"/>
              </w:rPr>
              <w:t>Supplier Location</w:t>
            </w:r>
          </w:p>
        </w:tc>
        <w:tc>
          <w:tcPr>
            <w:tcW w:type="dxa" w:w="5040"/>
          </w:tcPr>
          <w:p>
            <w:r>
              <w:rPr>
                <w:sz w:val="20"/>
              </w:rPr>
              <w:t>Malaysia</w:t>
            </w:r>
          </w:p>
        </w:tc>
      </w:tr>
      <w:tr>
        <w:tc>
          <w:tcPr>
            <w:tcW w:type="dxa" w:w="5040"/>
          </w:tcPr>
          <w:p>
            <w:r>
              <w:rPr>
                <w:sz w:val="20"/>
              </w:rPr>
              <w:t>Spend Share</w:t>
            </w:r>
          </w:p>
        </w:tc>
        <w:tc>
          <w:tcPr>
            <w:tcW w:type="dxa" w:w="5040"/>
          </w:tcPr>
          <w:p>
            <w:r>
              <w:rPr>
                <w:sz w:val="20"/>
              </w:rPr>
              <w:t>65% = USD 1,441,800</w:t>
            </w:r>
          </w:p>
        </w:tc>
      </w:tr>
      <w:tr>
        <w:tc>
          <w:tcPr>
            <w:tcW w:type="dxa" w:w="5040"/>
          </w:tcPr>
          <w:p>
            <w:r>
              <w:rPr>
                <w:sz w:val="20"/>
              </w:rPr>
              <w:t>Current Rice Bran Oil Buying from Supplier</w:t>
            </w:r>
          </w:p>
        </w:tc>
        <w:tc>
          <w:tcPr>
            <w:tcW w:type="dxa" w:w="5040"/>
          </w:tcPr>
          <w:p>
            <w:r>
              <w:rPr>
                <w:sz w:val="20"/>
              </w:rPr>
              <w:t>Yes</w:t>
            </w:r>
          </w:p>
        </w:tc>
      </w:tr>
      <w:tr>
        <w:tc>
          <w:tcPr>
            <w:tcW w:type="dxa" w:w="5040"/>
          </w:tcPr>
          <w:p>
            <w:r>
              <w:rPr>
                <w:sz w:val="20"/>
              </w:rPr>
              <w:t>Alternate Supplier for Rice Bran Oil</w:t>
            </w:r>
          </w:p>
        </w:tc>
        <w:tc>
          <w:tcPr>
            <w:tcW w:type="dxa" w:w="5040"/>
          </w:tcPr>
          <w:p>
            <w:r>
              <w:rPr>
                <w:sz w:val="20"/>
              </w:rPr>
              <w:t>Mediterranean Oils</w:t>
            </w:r>
          </w:p>
        </w:tc>
      </w:tr>
      <w:tr>
        <w:tc>
          <w:tcPr>
            <w:tcW w:type="dxa" w:w="5040"/>
          </w:tcPr>
          <w:p>
            <w:r>
              <w:rPr>
                <w:sz w:val="20"/>
              </w:rPr>
              <w:t>Key Risk</w:t>
            </w:r>
          </w:p>
        </w:tc>
        <w:tc>
          <w:tcPr>
            <w:tcW w:type="dxa" w:w="5040"/>
          </w:tcPr>
          <w:p>
            <w:r>
              <w:rPr>
                <w:sz w:val="20"/>
              </w:rPr>
              <w:t>High supplier concentration (65%) and APAC supply corridor dependency</w:t>
            </w:r>
          </w:p>
        </w:tc>
      </w:tr>
    </w:tbl>
    <w:p/>
    <w:p>
      <w:pPr>
        <w:pStyle w:val="Heading3"/>
      </w:pPr>
      <w:r>
        <w:rPr>
          <w:color w:val="003366"/>
        </w:rPr>
        <w:t>OVERALL RISK STATEMENT</w:t>
      </w:r>
    </w:p>
    <w:p>
      <w:pPr>
        <w:spacing w:after="240"/>
      </w:pPr>
      <w:r>
        <w:t xml:space="preserve">Our current rice bran oil procurement involves 2 suppliers, with Malaya Agri Oils as the dominant supplier at 65% of total category spend (USD 1,441,800 of USD 2,208,600 in 2025). Other suppliers include: Borneo Nutrients (35%). All suppliers operate from Malaysia. We currently do not source rice bran oil from Mediterranean Oils, an already approved Edible Oils supplier in our system with operational presence across Spain, Ukraine, USA, Indonesia. </w:t>
        <w:br/>
        <w:br/>
        <w:t>This creates both a high supplier concentration risk and a correlated geographic concentration risk. It is recommended to activate rice bran oil with Mediterranean Oils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Malaya Agri Oils</w:t>
            </w:r>
          </w:p>
        </w:tc>
        <w:tc>
          <w:tcPr>
            <w:tcW w:type="dxa" w:w="2520"/>
          </w:tcPr>
          <w:p>
            <w:r>
              <w:rPr>
                <w:sz w:val="20"/>
              </w:rPr>
              <w:t>65%</w:t>
            </w:r>
          </w:p>
        </w:tc>
        <w:tc>
          <w:tcPr>
            <w:tcW w:type="dxa" w:w="2520"/>
          </w:tcPr>
          <w:p>
            <w:r>
              <w:rPr>
                <w:sz w:val="20"/>
              </w:rPr>
              <w:t>55%</w:t>
            </w:r>
          </w:p>
        </w:tc>
        <w:tc>
          <w:tcPr>
            <w:tcW w:type="dxa" w:w="2520"/>
          </w:tcPr>
          <w:p>
            <w:r>
              <w:rPr>
                <w:sz w:val="20"/>
              </w:rPr>
              <w:t>65% → 55% = 15.8% reduction</w:t>
            </w:r>
          </w:p>
        </w:tc>
      </w:tr>
      <w:tr>
        <w:tc>
          <w:tcPr>
            <w:tcW w:type="dxa" w:w="2520"/>
          </w:tcPr>
          <w:p>
            <w:r>
              <w:rPr>
                <w:sz w:val="20"/>
              </w:rPr>
              <w:t>Mediterranean Oils</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MEDITERRANEAN OILS INTO RICE BRAN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Mediterranean Oils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Spain</w:t>
            </w:r>
          </w:p>
        </w:tc>
        <w:tc>
          <w:tcPr>
            <w:tcW w:type="dxa" w:w="3360"/>
          </w:tcPr>
          <w:p>
            <w:r>
              <w:rPr>
                <w:sz w:val="20"/>
              </w:rPr>
              <w:t>Diversification benefits + competitive pricing in Spain</w:t>
            </w:r>
          </w:p>
        </w:tc>
        <w:tc>
          <w:tcPr>
            <w:tcW w:type="dxa" w:w="3360"/>
          </w:tcPr>
          <w:p>
            <w:r>
              <w:rPr>
                <w:sz w:val="20"/>
              </w:rPr>
              <w:t>$26,503 – $66,258</w:t>
            </w:r>
          </w:p>
        </w:tc>
      </w:tr>
      <w:tr>
        <w:tc>
          <w:tcPr>
            <w:tcW w:type="dxa" w:w="3360"/>
          </w:tcPr>
          <w:p>
            <w:r>
              <w:rPr>
                <w:sz w:val="20"/>
              </w:rPr>
              <w:t>Ukraine</w:t>
            </w:r>
          </w:p>
        </w:tc>
        <w:tc>
          <w:tcPr>
            <w:tcW w:type="dxa" w:w="3360"/>
          </w:tcPr>
          <w:p>
            <w:r>
              <w:rPr>
                <w:sz w:val="20"/>
              </w:rPr>
              <w:t>Diversification benefits + competitive pricing in Ukraine</w:t>
            </w:r>
          </w:p>
        </w:tc>
        <w:tc>
          <w:tcPr>
            <w:tcW w:type="dxa" w:w="3360"/>
          </w:tcPr>
          <w:p>
            <w:r>
              <w:rPr>
                <w:sz w:val="20"/>
              </w:rPr>
              <w:t>$26,503 – $66,258</w:t>
            </w:r>
          </w:p>
        </w:tc>
      </w:tr>
      <w:tr>
        <w:tc>
          <w:tcPr>
            <w:tcW w:type="dxa" w:w="3360"/>
          </w:tcPr>
          <w:p>
            <w:r>
              <w:rPr>
                <w:sz w:val="20"/>
              </w:rPr>
              <w:t>USA</w:t>
            </w:r>
          </w:p>
        </w:tc>
        <w:tc>
          <w:tcPr>
            <w:tcW w:type="dxa" w:w="3360"/>
          </w:tcPr>
          <w:p>
            <w:r>
              <w:rPr>
                <w:sz w:val="20"/>
              </w:rPr>
              <w:t>Diversification benefits + competitive pricing in USA</w:t>
            </w:r>
          </w:p>
        </w:tc>
        <w:tc>
          <w:tcPr>
            <w:tcW w:type="dxa" w:w="3360"/>
          </w:tcPr>
          <w:p>
            <w:r>
              <w:rPr>
                <w:sz w:val="20"/>
              </w:rPr>
              <w:t>$26,503 – $66,258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$79,509 – $198,774</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$79,509 – $198,774</w:t>
            </w:r>
          </w:p>
        </w:tc>
      </w:tr>
      <w:tr>
        <w:tc>
          <w:tcPr>
            <w:tcW w:type="dxa" w:w="5040"/>
          </w:tcPr>
          <w:p>
            <w:r>
              <w:rPr>
                <w:sz w:val="20"/>
              </w:rPr>
              <w:t>Risk Reduction Value</w:t>
            </w:r>
          </w:p>
        </w:tc>
        <w:tc>
          <w:tcPr>
            <w:tcW w:type="dxa" w:w="5040"/>
          </w:tcPr>
          <w:p>
            <w:r>
              <w:rPr>
                <w:sz w:val="20"/>
              </w:rPr>
              <w:t>$30,368</w:t>
            </w:r>
          </w:p>
        </w:tc>
      </w:tr>
      <w:tr>
        <w:tc>
          <w:tcPr>
            <w:tcW w:type="dxa" w:w="5040"/>
          </w:tcPr>
          <w:p>
            <w:r>
              <w:rPr>
                <w:sz w:val="20"/>
              </w:rPr>
              <w:t>Implementation Cost</w:t>
            </w:r>
          </w:p>
        </w:tc>
        <w:tc>
          <w:tcPr>
            <w:tcW w:type="dxa" w:w="5040"/>
          </w:tcPr>
          <w:p>
            <w:r>
              <w:rPr>
                <w:sz w:val="20"/>
              </w:rPr>
              <w:t>$44,172</w:t>
            </w:r>
          </w:p>
        </w:tc>
      </w:tr>
      <w:tr>
        <w:tc>
          <w:tcPr>
            <w:tcW w:type="dxa" w:w="5040"/>
          </w:tcPr>
          <w:p>
            <w:r>
              <w:rPr>
                <w:sz w:val="20"/>
              </w:rPr>
              <w:t>ROI (First Year)</w:t>
            </w:r>
          </w:p>
        </w:tc>
        <w:tc>
          <w:tcPr>
            <w:tcW w:type="dxa" w:w="5040"/>
          </w:tcPr>
          <w:p>
            <w:r>
              <w:rPr>
                <w:sz w:val="20"/>
              </w:rPr>
              <w:t>149% – 419%</w:t>
            </w:r>
          </w:p>
        </w:tc>
      </w:tr>
      <w:tr>
        <w:tc>
          <w:tcPr>
            <w:tcW w:type="dxa" w:w="5040"/>
          </w:tcPr>
          <w:p>
            <w:r>
              <w:rPr>
                <w:sz w:val="20"/>
              </w:rPr>
              <w:t>Payback Period</w:t>
            </w:r>
          </w:p>
        </w:tc>
        <w:tc>
          <w:tcPr>
            <w:tcW w:type="dxa" w:w="5040"/>
          </w:tcPr>
          <w:p>
            <w:r>
              <w:rPr>
                <w:sz w:val="20"/>
              </w:rPr>
              <w:t>2.3 – 4.8 months</w:t>
            </w:r>
          </w:p>
        </w:tc>
      </w:tr>
      <w:tr>
        <w:tc>
          <w:tcPr>
            <w:tcW w:type="dxa" w:w="5040"/>
          </w:tcPr>
          <w:p>
            <w:r>
              <w:rPr>
                <w:sz w:val="20"/>
              </w:rPr>
              <w:t>3-Year Net Benefit</w:t>
            </w:r>
          </w:p>
        </w:tc>
        <w:tc>
          <w:tcPr>
            <w:tcW w:type="dxa" w:w="5040"/>
          </w:tcPr>
          <w:p>
            <w:r>
              <w:rPr>
                <w:sz w:val="20"/>
              </w:rPr>
              <w:t>$285,460 – $643,255</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Malaya Agri Oils</w:t>
            </w:r>
          </w:p>
        </w:tc>
        <w:tc>
          <w:tcPr>
            <w:tcW w:type="dxa" w:w="2016"/>
          </w:tcPr>
          <w:p>
            <w:r>
              <w:rPr>
                <w:sz w:val="20"/>
              </w:rPr>
              <w:t>$1,441,800</w:t>
            </w:r>
          </w:p>
        </w:tc>
        <w:tc>
          <w:tcPr>
            <w:tcW w:type="dxa" w:w="2016"/>
          </w:tcPr>
          <w:p>
            <w:r>
              <w:rPr>
                <w:sz w:val="20"/>
              </w:rPr>
              <w:t>4.5/5.0</w:t>
            </w:r>
          </w:p>
        </w:tc>
        <w:tc>
          <w:tcPr>
            <w:tcW w:type="dxa" w:w="2016"/>
          </w:tcPr>
          <w:p>
            <w:r>
              <w:rPr>
                <w:sz w:val="20"/>
              </w:rPr>
              <w:t>92%</w:t>
            </w:r>
          </w:p>
        </w:tc>
        <w:tc>
          <w:tcPr>
            <w:tcW w:type="dxa" w:w="2016"/>
          </w:tcPr>
          <w:p>
            <w:r>
              <w:rPr>
                <w:sz w:val="20"/>
              </w:rPr>
              <w:t>8.2/10</w:t>
            </w:r>
          </w:p>
        </w:tc>
      </w:tr>
      <w:tr>
        <w:tc>
          <w:tcPr>
            <w:tcW w:type="dxa" w:w="2016"/>
          </w:tcPr>
          <w:p>
            <w:r>
              <w:rPr>
                <w:sz w:val="20"/>
              </w:rPr>
              <w:t>Borneo Nutrients</w:t>
            </w:r>
          </w:p>
        </w:tc>
        <w:tc>
          <w:tcPr>
            <w:tcW w:type="dxa" w:w="2016"/>
          </w:tcPr>
          <w:p>
            <w:r>
              <w:rPr>
                <w:sz w:val="20"/>
              </w:rPr>
              <w:t>$766,800</w:t>
            </w:r>
          </w:p>
        </w:tc>
        <w:tc>
          <w:tcPr>
            <w:tcW w:type="dxa" w:w="2016"/>
          </w:tcPr>
          <w:p>
            <w:r>
              <w:rPr>
                <w:sz w:val="20"/>
              </w:rPr>
              <w:t>4.3/5.0</w:t>
            </w:r>
          </w:p>
        </w:tc>
        <w:tc>
          <w:tcPr>
            <w:tcW w:type="dxa" w:w="2016"/>
          </w:tcPr>
          <w:p>
            <w:r>
              <w:rPr>
                <w:sz w:val="20"/>
              </w:rPr>
              <w:t>90%</w:t>
            </w:r>
          </w:p>
        </w:tc>
        <w:tc>
          <w:tcPr>
            <w:tcW w:type="dxa" w:w="2016"/>
          </w:tcPr>
          <w:p>
            <w:r>
              <w:rPr>
                <w:sz w:val="20"/>
              </w:rPr>
              <w:t>7.8/10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3</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25%</w:t>
            </w:r>
          </w:p>
        </w:tc>
      </w:tr>
    </w:tbl>
    <w:p/>
    <w:p>
      <w:r>
        <w:rPr>
          <w:b/>
        </w:rPr>
        <w:t>Violations Detected:</w:t>
      </w:r>
    </w:p>
    <w:p>
      <w:pPr>
        <w:pStyle w:val="ListBullet"/>
      </w:pPr>
      <w:r>
        <w:t>R001: Regional Concentration</w:t>
      </w:r>
    </w:p>
    <w:p>
      <w:pPr>
        <w:pStyle w:val="ListBullet"/>
      </w:pPr>
      <w:r>
        <w:t>R003: Single Supplier Dependency</w:t>
      </w:r>
    </w:p>
    <w:p>
      <w:pPr>
        <w:pStyle w:val="ListBullet"/>
      </w:pPr>
      <w:r>
        <w:t>R023: Supplier Concentration Index</w:t>
      </w:r>
    </w:p>
    <w:p/>
    <w:p>
      <w:pPr>
        <w:pStyle w:val="Heading2"/>
      </w:pPr>
      <w:r>
        <w:rPr>
          <w:color w:val="003366"/>
        </w:rPr>
        <w:t>STRATEGIC OUTCOME</w:t>
      </w:r>
    </w:p>
    <w:p>
      <w:pPr>
        <w:pStyle w:val="ListBullet"/>
      </w:pPr>
      <w:r>
        <w:t>Reduce single-supplier concentration from 65% to 55% in Phase 1</w:t>
      </w:r>
    </w:p>
    <w:p>
      <w:pPr>
        <w:pStyle w:val="ListBullet"/>
      </w:pPr>
      <w:r>
        <w:t>Activate 10% of spend via incumbent supplier (Mediterranean Oils) with multi-region presence</w:t>
      </w:r>
    </w:p>
    <w:p>
      <w:pPr>
        <w:pStyle w:val="ListBullet"/>
      </w:pPr>
      <w:r>
        <w:t>Improve pricing leverage through supplier competition</w:t>
      </w:r>
    </w:p>
    <w:p>
      <w:pPr>
        <w:pStyle w:val="ListBullet"/>
      </w:pPr>
      <w:r>
        <w:t>Reduce southeast asia supply corridor risk by ~25%</w:t>
      </w:r>
    </w:p>
    <w:p>
      <w:pPr>
        <w:pStyle w:val="ListBullet"/>
      </w:pPr>
      <w:r>
        <w:t>Achieve estimated annual cost advantage of USD 79,509–198,774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rice bran oil with Mediterranean Oils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