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IT HARDWARE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5,529,600</w:t>
      </w:r>
    </w:p>
    <w:p/>
    <w:p>
      <w:pPr>
        <w:pStyle w:val="Heading2"/>
      </w:pPr>
      <w:r>
        <w:rPr>
          <w:color w:val="003366"/>
        </w:rPr>
        <w:t>ORIGINAL SPEND CONCENTRATION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77%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$4,233,600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$1,296,000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77%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$4,233,600</w:t>
            </w:r>
          </w:p>
        </w:tc>
      </w:tr>
    </w:tbl>
    <w:p>
      <w:pPr>
        <w:spacing w:before="120"/>
      </w:pPr>
      <w:r>
        <w:t>USA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$1,880,064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43%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21%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$1,161,216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$829,440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$829,440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$829,440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$5,529,600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77% → 34% = 55.6%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23% → 21% = 10.3%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Americas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77%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42–52%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25–35%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IT services integration + growing hardware assembly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$41,472 – $124,416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Nearshoring benefits + trade agreements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$41,472 – $124,416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$41,472 – $124,416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$124,416 – $373,248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3.0/4.0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$124,416 – $373,248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$82,944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88% – 312%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$511,488 – $1,257,984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USA reliance by 56%</w:t>
      </w:r>
    </w:p>
    <w:p>
      <w:pPr>
        <w:pStyle w:val="ListBullet"/>
      </w:pPr>
      <w:r>
        <w:t>Add 3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~25% with blended cost advantage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India, Mexico, Germany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