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LOGISTICS SERVICES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4,244,400</w:t>
      </w:r>
    </w:p>
    <w:p/>
    <w:p>
      <w:pPr>
        <w:pStyle w:val="Heading2"/>
      </w:pPr>
      <w:r>
        <w:rPr>
          <w:color w:val="003366"/>
        </w:rPr>
        <w:t>ORIGINAL SPEND CONCENTRATION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52%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$2,214,000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48%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$2,030,400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$4,244,400</w:t>
            </w:r>
          </w:p>
        </w:tc>
      </w:tr>
    </w:tbl>
    <w:p>
      <w:pPr>
        <w:spacing w:before="120"/>
      </w:pPr>
      <w:r>
        <w:t>Germany and USA each exceeded 40% of spend, creating high regional dependency.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33%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$1,400,652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19%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31%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$1,315,764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17%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$509,328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$509,328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$509,328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$4,244,400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52% → 33% = 36.8%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48% → 31% = 35.1%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European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65–75%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25–35%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$31,833 – $95,499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$31,833 – $95,499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$31,833 – $95,499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$95,499 – $286,497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2.7/4.0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$95,499 – $286,497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$63,666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88% – 312%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$392,607 – $965,601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Germany and USA reliance by 37% each</w:t>
      </w:r>
    </w:p>
    <w:p>
      <w:pPr>
        <w:pStyle w:val="ListBullet"/>
      </w:pPr>
      <w:r>
        <w:t>Add 3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~25% with blended cost advantage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India, China, Mexico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