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LEADERSHIP BRIEF – PALM OIL PROCUREMENT DIVERSIFICATION</w:t>
      </w:r>
    </w:p>
    <w:p>
      <w:pPr>
        <w:jc w:val="center"/>
      </w:pPr>
      <w:r>
        <w:rPr>
          <w:b/>
          <w:sz w:val="22"/>
        </w:rPr>
        <w:t>Assumed Total Category Spend 2024: USD 864,000</w:t>
      </w:r>
    </w:p>
    <w:p/>
    <w:p>
      <w:pPr>
        <w:pStyle w:val="Heading2"/>
      </w:pPr>
      <w:r>
        <w:t>ORIGINAL SPEND CONCENTRATION (2024)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t>Indonesia</w:t>
            </w:r>
          </w:p>
        </w:tc>
        <w:tc>
          <w:tcPr>
            <w:tcW w:type="dxa" w:w="3360"/>
          </w:tcPr>
          <w:p>
            <w:r>
              <w:t>100%</w:t>
            </w:r>
          </w:p>
        </w:tc>
        <w:tc>
          <w:tcPr>
            <w:tcW w:type="dxa" w:w="3360"/>
          </w:tcPr>
          <w:p>
            <w:r>
              <w:t>$864,000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Total SEA Concentration</w:t>
            </w:r>
          </w:p>
        </w:tc>
        <w:tc>
          <w:tcPr>
            <w:tcW w:type="dxa" w:w="3360"/>
          </w:tcPr>
          <w:p>
            <w:r>
              <w:t>100%</w:t>
            </w:r>
          </w:p>
        </w:tc>
        <w:tc>
          <w:tcPr>
            <w:tcW w:type="dxa" w:w="3360"/>
          </w:tcPr>
          <w:p>
            <w:r>
              <w:t>$864,000</w:t>
            </w:r>
          </w:p>
        </w:tc>
      </w:tr>
    </w:tbl>
    <w:p>
      <w:r>
        <w:t>Malaysia and Vietnam each exceeded 40% of spend, creating high regional dependency.</w:t>
      </w:r>
    </w:p>
    <w:p/>
    <w:p>
      <w:pPr>
        <w:pStyle w:val="Heading2"/>
      </w:pPr>
      <w:r>
        <w:t>DIVERSIFIED TARGET STATE (NEW SPLIT)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>
              <w:t>$864,000</w:t>
            </w:r>
          </w:p>
        </w:tc>
        <w:tc>
          <w:tcPr>
            <w:tcW w:type="dxa" w:w="2520"/>
          </w:tcPr>
          <w:p>
            <w:r>
              <w:t>Balanced cost + risk mix</w:t>
            </w:r>
          </w:p>
        </w:tc>
      </w:tr>
    </w:tbl>
    <w:p/>
    <w:p>
      <w:pPr>
        <w:pStyle w:val="Heading2"/>
      </w:pPr>
      <w:r>
        <w:t>REDUCTION IN SPEND 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t>Indonesia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2"/>
      </w:pPr>
      <w:r>
        <w:t>REGIONAL DEPENDENCY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Original 2024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New Target</w:t>
            </w:r>
          </w:p>
        </w:tc>
      </w:tr>
      <w:tr>
        <w:tc>
          <w:tcPr>
            <w:tcW w:type="dxa" w:w="3360"/>
          </w:tcPr>
          <w:p>
            <w:r>
              <w:t>SEA Regional Dependency</w:t>
            </w:r>
          </w:p>
        </w:tc>
        <w:tc>
          <w:tcPr>
            <w:tcW w:type="dxa" w:w="3360"/>
          </w:tcPr>
          <w:p>
            <w:r>
              <w:t>90%</w:t>
            </w:r>
          </w:p>
        </w:tc>
        <w:tc>
          <w:tcPr>
            <w:tcW w:type="dxa" w:w="3360"/>
          </w:tcPr>
          <w:p>
            <w:r>
              <w:t>58–63%</w:t>
            </w:r>
          </w:p>
        </w:tc>
      </w:tr>
    </w:tbl>
    <w:p/>
    <w:p>
      <w:pPr>
        <w:pStyle w:val="Heading2"/>
      </w:pPr>
      <w:r>
        <w:t>REGIONAL COST ADVANTAGE DRIVERS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t>India</w:t>
            </w:r>
          </w:p>
        </w:tc>
        <w:tc>
          <w:tcPr>
            <w:tcW w:type="dxa" w:w="3360"/>
          </w:tcPr>
          <w:p>
            <w:r>
              <w:t>20–30% lower rice-bran input cost + scaling extraction capacity</w:t>
            </w:r>
          </w:p>
        </w:tc>
        <w:tc>
          <w:tcPr>
            <w:tcW w:type="dxa" w:w="3360"/>
          </w:tcPr>
          <w:p>
            <w:r>
              <w:t>$40,000 – $65,000</w:t>
            </w:r>
          </w:p>
        </w:tc>
      </w:tr>
      <w:tr>
        <w:tc>
          <w:tcPr>
            <w:tcW w:type="dxa" w:w="3360"/>
          </w:tcPr>
          <w:p>
            <w:r>
              <w:t>Thailand</w:t>
            </w:r>
          </w:p>
        </w:tc>
        <w:tc>
          <w:tcPr>
            <w:tcW w:type="dxa" w:w="3360"/>
          </w:tcPr>
          <w:p>
            <w:r>
              <w:t>8–12% lower landed cost due to strong milling ecosystem + efficient ports</w:t>
            </w:r>
          </w:p>
        </w:tc>
        <w:tc>
          <w:tcPr>
            <w:tcW w:type="dxa" w:w="3360"/>
          </w:tcPr>
          <w:p>
            <w:r>
              <w:t>$12,000 – $28,000</w:t>
            </w:r>
          </w:p>
        </w:tc>
      </w:tr>
      <w:tr>
        <w:tc>
          <w:tcPr>
            <w:tcW w:type="dxa" w:w="3360"/>
          </w:tcPr>
          <w:p>
            <w:r>
              <w:t>China</w:t>
            </w:r>
          </w:p>
        </w:tc>
        <w:tc>
          <w:tcPr>
            <w:tcW w:type="dxa" w:w="3360"/>
          </w:tcPr>
          <w:p>
            <w:r>
              <w:t>12–18% lower industrial extraction pricing due to processing scale</w:t>
            </w:r>
          </w:p>
        </w:tc>
        <w:tc>
          <w:tcPr>
            <w:tcW w:type="dxa" w:w="3360"/>
          </w:tcPr>
          <w:p>
            <w:r>
              <w:t>$18,000 – $35,000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Blended Annual Advantage</w:t>
            </w:r>
          </w:p>
        </w:tc>
        <w:tc>
          <w:tcPr>
            <w:tcW w:type="dxa" w:w="3360"/>
          </w:tcPr>
          <w:p>
            <w:r>
              <w:t>Supplier competition + cheaper inputs + resilient logistics routing</w:t>
            </w:r>
          </w:p>
        </w:tc>
        <w:tc>
          <w:tcPr>
            <w:tcW w:type="dxa" w:w="3360"/>
          </w:tcPr>
          <w:p>
            <w:r>
              <w:t>$70,000 – $128,000</w:t>
            </w:r>
          </w:p>
        </w:tc>
      </w:tr>
    </w:tbl>
    <w:p/>
    <w:p>
      <w:pPr>
        <w:pStyle w:val="Heading2"/>
      </w:pPr>
      <w:r>
        <w:t>STRATEGIC OUTCOME</w:t>
      </w:r>
    </w:p>
    <w:p>
      <w:pPr>
        <w:pStyle w:val="ListBullet"/>
      </w:pPr>
      <w:r>
        <w:t>Reduce Indonesia and Other Regions reliance by 16% each</w:t>
      </w:r>
    </w:p>
    <w:p>
      <w:pPr>
        <w:pStyle w:val="ListBullet"/>
      </w:pPr>
      <w:r>
        <w:t>Add 5 new extraction ecosystems to offset cost</w:t>
      </w:r>
    </w:p>
    <w:p>
      <w:pPr>
        <w:pStyle w:val="ListBullet"/>
      </w:pPr>
      <w:r>
        <w:t>Increase supplier pricing competition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~30% with blended cost advantage</w:t>
      </w:r>
    </w:p>
    <w:p/>
    <w:p>
      <w:pPr>
        <w:pStyle w:val="Heading2"/>
      </w:pPr>
      <w:r>
        <w:t>NEXT STEPS</w:t>
      </w:r>
    </w:p>
    <w:p>
      <w:pPr>
        <w:pStyle w:val="ListNumber"/>
      </w:pPr>
      <w:r>
        <w:t>Shortlist suppliers in India, Spain, USA, Thailand, China</w:t>
      </w:r>
    </w:p>
    <w:p>
      <w:pPr>
        <w:pStyle w:val="ListNumber"/>
      </w:pPr>
      <w:r>
        <w:t>Initiate 8–12 week pilot contracts</w:t>
      </w:r>
    </w:p>
    <w:p>
      <w:pPr>
        <w:pStyle w:val="ListNumber"/>
      </w:pPr>
      <w:r>
        <w:t>Review pricing and delivery performance quarterly</w:t>
      </w:r>
    </w:p>
    <w:p>
      <w:pPr>
        <w:pStyle w:val="ListNumber"/>
      </w:pPr>
      <w:r>
        <w:t>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