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PHARMACEUTICALS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2025: USD 22,874,400</w:t>
      </w:r>
    </w:p>
    <w:p/>
    <w:p>
      <w:pPr>
        <w:pStyle w:val="Heading2"/>
      </w:pPr>
      <w:r>
        <w:rPr>
          <w:color w:val="003366"/>
        </w:rPr>
        <w:t>ORIGINAL SPEND CONCENTRATION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$17,258,400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Switzerland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$5,616,000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$17,258,400</w:t>
            </w:r>
          </w:p>
        </w:tc>
      </w:tr>
    </w:tbl>
    <w:p>
      <w:pPr>
        <w:spacing w:before="120"/>
      </w:pPr>
      <w:r>
        <w:t>USA exceeds 40% of spend, creating regional concentration risk.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36%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$8,234,784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39%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Switzerland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$5,032,368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$3,202,416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$3,202,416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$3,202,416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$22,874,400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75% → 36% = 52.3%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Switzerland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25% → 22% = 10.6%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2025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Americas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40–50%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25–35%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Generic manufacturing + cost efficiency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$343,116 – $1,029,348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API manufacturing + scale benefits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$343,116 – $1,029,348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$343,116 – $1,029,348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$1,029,348 – $3,088,044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3.0/4.0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$1,029,348 – $3,088,044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$343,116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200% – 650%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$3,659,904 – $9,835,992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USA reliance by 52%</w:t>
      </w:r>
    </w:p>
    <w:p>
      <w:pPr>
        <w:pStyle w:val="ListBullet"/>
      </w:pPr>
      <w:r>
        <w:t>Add 3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~25% with blended cost advantage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India, China, Mexico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