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8"/>
        </w:rPr>
        <w:t>LEADERSHIP BRIEF – PROCUREMENT PROCUREMENT DIVERSIFICATION</w:t>
      </w:r>
    </w:p>
    <w:p>
      <w:pPr>
        <w:jc w:val="center"/>
      </w:pPr>
      <w:r>
        <w:rPr>
          <w:b/>
          <w:sz w:val="22"/>
        </w:rPr>
        <w:t>Assumed Total Category Spend 2024: USD 0</w:t>
      </w:r>
    </w:p>
    <w:p/>
    <w:p>
      <w:pPr>
        <w:pStyle w:val="Heading2"/>
      </w:pPr>
      <w:r>
        <w:t>ORIGINAL SPEND CONCENTRATION (2024)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3360"/>
          </w:tcPr>
          <w:p>
            <w:r>
              <w:rPr>
                <w:b/>
              </w:rPr>
              <w:t>% of Total Spend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(USD)</w:t>
            </w:r>
          </w:p>
        </w:tc>
      </w:tr>
    </w:tbl>
    <w:p>
      <w:r>
        <w:t>Malaysia and Vietnam each exceeded 40% of spend, creating high regional dependency.</w:t>
      </w:r>
    </w:p>
    <w:p/>
    <w:p>
      <w:pPr>
        <w:pStyle w:val="Heading2"/>
      </w:pPr>
      <w:r>
        <w:t>DIVERSIFIED TARGET STATE (NEW SPLIT)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Country / Region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% Allocation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New Cost (USD)</w:t>
            </w:r>
          </w:p>
        </w:tc>
        <w:tc>
          <w:tcPr>
            <w:tcW w:type="dxa" w:w="2520"/>
          </w:tcPr>
          <w:p>
            <w:r>
              <w:rPr>
                <w:b/>
              </w:rPr>
              <w:t>Change vs Original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520"/>
          </w:tcPr>
          <w:p>
            <w:r>
              <w:t>100%</w:t>
            </w:r>
          </w:p>
        </w:tc>
        <w:tc>
          <w:tcPr>
            <w:tcW w:type="dxa" w:w="2520"/>
          </w:tcPr>
          <w:p>
            <w:r>
              <w:t>$0</w:t>
            </w:r>
          </w:p>
        </w:tc>
        <w:tc>
          <w:tcPr>
            <w:tcW w:type="dxa" w:w="2520"/>
          </w:tcPr>
          <w:p>
            <w:r>
              <w:t>Balanced cost + risk mix</w:t>
            </w:r>
          </w:p>
        </w:tc>
      </w:tr>
    </w:tbl>
    <w:p/>
    <w:p>
      <w:pPr>
        <w:pStyle w:val="Heading2"/>
      </w:pPr>
      <w:r>
        <w:t>REDUCTION IN SPEND SHARE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Country</w:t>
            </w:r>
          </w:p>
        </w:tc>
        <w:tc>
          <w:tcPr>
            <w:tcW w:type="dxa" w:w="5040"/>
          </w:tcPr>
          <w:p>
            <w:r>
              <w:rPr>
                <w:b/>
              </w:rPr>
              <w:t>Reduction in Spend Share</w:t>
            </w:r>
          </w:p>
        </w:tc>
      </w:tr>
    </w:tbl>
    <w:p/>
    <w:p>
      <w:pPr>
        <w:pStyle w:val="Heading2"/>
      </w:pPr>
      <w:r>
        <w:t>REGIONAL DEPENDENCY IMPROVEMENT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3360"/>
          </w:tcPr>
          <w:p>
            <w:r>
              <w:rPr>
                <w:b/>
              </w:rPr>
              <w:t>Original 2024</w:t>
            </w:r>
          </w:p>
        </w:tc>
        <w:tc>
          <w:tcPr>
            <w:tcW w:type="dxa" w:w="3360"/>
          </w:tcPr>
          <w:p>
            <w:r>
              <w:rPr>
                <w:b/>
              </w:rPr>
              <w:t>New Target</w:t>
            </w:r>
          </w:p>
        </w:tc>
      </w:tr>
      <w:tr>
        <w:tc>
          <w:tcPr>
            <w:tcW w:type="dxa" w:w="3360"/>
          </w:tcPr>
          <w:p>
            <w:r>
              <w:t>SEA Regional Dependency</w:t>
            </w:r>
          </w:p>
        </w:tc>
        <w:tc>
          <w:tcPr>
            <w:tcW w:type="dxa" w:w="3360"/>
          </w:tcPr>
          <w:p>
            <w:r>
              <w:t>90%</w:t>
            </w:r>
          </w:p>
        </w:tc>
        <w:tc>
          <w:tcPr>
            <w:tcW w:type="dxa" w:w="3360"/>
          </w:tcPr>
          <w:p>
            <w:r>
              <w:t>58–63%</w:t>
            </w:r>
          </w:p>
        </w:tc>
      </w:tr>
    </w:tbl>
    <w:p/>
    <w:p>
      <w:pPr>
        <w:pStyle w:val="Heading2"/>
      </w:pPr>
      <w:r>
        <w:t>REGIONAL COST ADVANTAGE DRIVERS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Region</w:t>
            </w:r>
          </w:p>
        </w:tc>
        <w:tc>
          <w:tcPr>
            <w:tcW w:type="dxa" w:w="3360"/>
          </w:tcPr>
          <w:p>
            <w:r>
              <w:rPr>
                <w:b/>
              </w:rPr>
              <w:t>Cost Benefit Driver</w:t>
            </w:r>
          </w:p>
        </w:tc>
        <w:tc>
          <w:tcPr>
            <w:tcW w:type="dxa" w:w="3360"/>
          </w:tcPr>
          <w:p>
            <w:r>
              <w:rPr>
                <w:b/>
              </w:rPr>
              <w:t>Estimated Annual Advantage (USD)</w:t>
            </w:r>
          </w:p>
        </w:tc>
      </w:tr>
    </w:tbl>
    <w:p/>
    <w:p>
      <w:pPr>
        <w:pStyle w:val="Heading2"/>
      </w:pPr>
      <w:r>
        <w:t>STRATEGIC OUTCOME</w:t>
      </w:r>
    </w:p>
    <w:p/>
    <w:p>
      <w:pPr>
        <w:pStyle w:val="Heading2"/>
      </w:pPr>
      <w:r>
        <w:t>NEXT STEPS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