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RICE BRAN OIL DIVERSIFICATION</w:t>
      </w:r>
    </w:p>
    <w:p>
      <w:pPr>
        <w:jc w:val="center"/>
      </w:pPr>
      <w:r>
        <w:rPr>
          <w:b/>
          <w:sz w:val="22"/>
        </w:rPr>
        <w:t>Total Spend 2024: USD 2,208,600</w:t>
      </w:r>
    </w:p>
    <w:p/>
    <w:p>
      <w:pPr>
        <w:pStyle w:val="Heading2"/>
      </w:pPr>
      <w:r>
        <w:t>ORIGINAL SPEND CONCENTRATION (2024)</w:t>
      </w:r>
    </w:p>
    <w:p>
      <w:r>
        <w:t>Malaysia (100%) and Other Regions (0%)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Region/Country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3360"/>
          </w:tcPr>
          <w:p>
            <w:r>
              <w:t>Malaysia</w:t>
            </w:r>
          </w:p>
        </w:tc>
        <w:tc>
          <w:tcPr>
            <w:tcW w:type="dxa" w:w="3360"/>
          </w:tcPr>
          <w:p>
            <w:r>
              <w:t>25%</w:t>
            </w:r>
          </w:p>
        </w:tc>
        <w:tc>
          <w:tcPr>
            <w:tcW w:type="dxa" w:w="3360"/>
          </w:tcPr>
          <w:p>
            <w:r>
              <w:t>75% lower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Spain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USA</w:t>
            </w:r>
          </w:p>
        </w:tc>
        <w:tc>
          <w:tcPr>
            <w:tcW w:type="dxa" w:w="3360"/>
          </w:tcPr>
          <w:p>
            <w:r>
              <w:t>15%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15%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t>Malaysia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25%</w:t>
            </w:r>
          </w:p>
        </w:tc>
        <w:tc>
          <w:tcPr>
            <w:tcW w:type="dxa" w:w="2520"/>
          </w:tcPr>
          <w:p>
            <w:r>
              <w:t>75%</w:t>
            </w:r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Original SEA Concentration</w:t>
            </w:r>
          </w:p>
        </w:tc>
        <w:tc>
          <w:tcPr>
            <w:tcW w:type="dxa" w:w="5040"/>
          </w:tcPr>
          <w:p>
            <w:r>
              <w:t>100%</w:t>
            </w:r>
          </w:p>
        </w:tc>
      </w:tr>
      <w:tr>
        <w:tc>
          <w:tcPr>
            <w:tcW w:type="dxa" w:w="5040"/>
          </w:tcPr>
          <w:p>
            <w:r>
              <w:t>New Target</w:t>
            </w:r>
          </w:p>
        </w:tc>
        <w:tc>
          <w:tcPr>
            <w:tcW w:type="dxa" w:w="5040"/>
          </w:tcPr>
          <w:p>
            <w:r>
              <w:t>58–63%</w:t>
            </w:r>
          </w:p>
        </w:tc>
      </w:tr>
      <w:tr>
        <w:tc>
          <w:tcPr>
            <w:tcW w:type="dxa" w:w="5040"/>
          </w:tcPr>
          <w:p>
            <w:r>
              <w:t>Reduction</w:t>
            </w:r>
          </w:p>
        </w:tc>
        <w:tc>
          <w:tcPr>
            <w:tcW w:type="dxa" w:w="5040"/>
          </w:tcPr>
          <w:p>
            <w:r>
              <w:t>27–32%</w:t>
            </w:r>
          </w:p>
        </w:tc>
      </w:tr>
    </w:tbl>
    <w:p/>
    <w:p>
      <w:pPr>
        <w:pStyle w:val="Heading2"/>
      </w:pPr>
      <w:r>
        <w:t>COST ADVANTAGE PROJECTION FROM NEW REGIONS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Min Savings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Max Savings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USD 40,000</w:t>
            </w:r>
          </w:p>
        </w:tc>
        <w:tc>
          <w:tcPr>
            <w:tcW w:type="dxa" w:w="3360"/>
          </w:tcPr>
          <w:p>
            <w:r>
              <w:t>USD 65,000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USD 12,000</w:t>
            </w:r>
          </w:p>
        </w:tc>
        <w:tc>
          <w:tcPr>
            <w:tcW w:type="dxa" w:w="3360"/>
          </w:tcPr>
          <w:p>
            <w:r>
              <w:t>USD 28,000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USD 18,000</w:t>
            </w:r>
          </w:p>
        </w:tc>
        <w:tc>
          <w:tcPr>
            <w:tcW w:type="dxa" w:w="3360"/>
          </w:tcPr>
          <w:p>
            <w:r>
              <w:t>USD 35,000</w:t>
            </w:r>
          </w:p>
        </w:tc>
      </w:tr>
      <w:tr>
        <w:tc>
          <w:tcPr>
            <w:tcW w:type="dxa" w:w="3360"/>
          </w:tcPr>
          <w:p>
            <w:r>
              <w:t>Blended Annual Advantage</w:t>
            </w:r>
          </w:p>
        </w:tc>
        <w:tc>
          <w:tcPr>
            <w:tcW w:type="dxa" w:w="3360"/>
          </w:tcPr>
          <w:p>
            <w:r>
              <w:t>USD 70,000</w:t>
            </w:r>
          </w:p>
        </w:tc>
        <w:tc>
          <w:tcPr>
            <w:tcW w:type="dxa" w:w="3360"/>
          </w:tcPr>
          <w:p>
            <w:r>
              <w:t>USD 128,000</w:t>
            </w:r>
          </w:p>
        </w:tc>
      </w:tr>
    </w:tbl>
    <w:p/>
    <w:p>
      <w:pPr>
        <w:pStyle w:val="Heading2"/>
      </w:pPr>
      <w:r>
        <w:t>STRATEGIC OUTCOME</w:t>
      </w:r>
    </w:p>
    <w:p>
      <w:pPr>
        <w:pStyle w:val="ListBullet"/>
      </w:pPr>
      <w:r>
        <w:t>Reduce Malaysia and Other Regions reliance by 16% each</w:t>
      </w:r>
    </w:p>
    <w:p>
      <w:pPr>
        <w:pStyle w:val="ListBullet"/>
      </w:pPr>
      <w:r>
        <w:t>Add 5 new extraction ecosystems to offset cost</w:t>
      </w:r>
    </w:p>
    <w:p>
      <w:pPr>
        <w:pStyle w:val="ListBullet"/>
      </w:pPr>
      <w:r>
        <w:t>Increase supplier pricing competition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~30% with blended cost advantage</w:t>
      </w:r>
    </w:p>
    <w:p/>
    <w:p>
      <w:pPr>
        <w:pStyle w:val="Heading2"/>
      </w:pPr>
      <w:r>
        <w:t>NEXT STEPS</w:t>
      </w:r>
    </w:p>
    <w:p>
      <w:pPr>
        <w:pStyle w:val="ListNumber"/>
      </w:pPr>
      <w:r>
        <w:t>Shortlist suppliers in India, Spain, USA, Thailand, China</w:t>
      </w:r>
    </w:p>
    <w:p>
      <w:pPr>
        <w:pStyle w:val="ListNumber"/>
      </w:pPr>
      <w:r>
        <w:t>Initiate 8–12 week pilot contracts</w:t>
      </w:r>
    </w:p>
    <w:p>
      <w:pPr>
        <w:pStyle w:val="ListNumber"/>
      </w:pPr>
      <w:r>
        <w:t>Review pricing and delivery performance quarterly</w:t>
      </w:r>
    </w:p>
    <w:p>
      <w:pPr>
        <w:pStyle w:val="ListNumber"/>
      </w:pPr>
      <w:r>
        <w:t>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